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380F" w:rsidRPr="00A13F0A" w:rsidRDefault="006E3142" w:rsidP="00B27481">
      <w:pPr>
        <w:spacing w:before="120" w:after="120" w:line="360" w:lineRule="auto"/>
        <w:jc w:val="both"/>
        <w:rPr>
          <w:rFonts w:ascii="Arial" w:hAnsi="Arial" w:cs="Arial"/>
          <w:b/>
          <w:sz w:val="24"/>
          <w:szCs w:val="24"/>
        </w:rPr>
      </w:pPr>
      <w:r w:rsidRPr="00A13F0A">
        <w:rPr>
          <w:rFonts w:ascii="Arial" w:hAnsi="Arial" w:cs="Arial"/>
          <w:b/>
          <w:sz w:val="24"/>
          <w:szCs w:val="24"/>
        </w:rPr>
        <w:t>I</w:t>
      </w:r>
      <w:r w:rsidR="0036380F" w:rsidRPr="00A13F0A">
        <w:rPr>
          <w:rFonts w:ascii="Arial" w:hAnsi="Arial" w:cs="Arial"/>
          <w:b/>
          <w:sz w:val="24"/>
          <w:szCs w:val="24"/>
        </w:rPr>
        <w:t>nstruç</w:t>
      </w:r>
      <w:r w:rsidR="008A590E" w:rsidRPr="00A13F0A">
        <w:rPr>
          <w:rFonts w:ascii="Arial" w:hAnsi="Arial" w:cs="Arial"/>
          <w:b/>
          <w:sz w:val="24"/>
          <w:szCs w:val="24"/>
        </w:rPr>
        <w:t>ões para</w:t>
      </w:r>
      <w:r w:rsidR="0036380F" w:rsidRPr="00A13F0A">
        <w:rPr>
          <w:rFonts w:ascii="Arial" w:hAnsi="Arial" w:cs="Arial"/>
          <w:b/>
          <w:sz w:val="24"/>
          <w:szCs w:val="24"/>
        </w:rPr>
        <w:t xml:space="preserve"> preenchimento do formulário:</w:t>
      </w:r>
    </w:p>
    <w:p w:rsidR="0036380F" w:rsidRPr="00A13F0A" w:rsidRDefault="0036380F" w:rsidP="00B27481">
      <w:pPr>
        <w:pStyle w:val="PargrafodaLista"/>
        <w:numPr>
          <w:ilvl w:val="0"/>
          <w:numId w:val="1"/>
        </w:numPr>
        <w:spacing w:before="120" w:after="120" w:line="360" w:lineRule="auto"/>
        <w:jc w:val="both"/>
        <w:rPr>
          <w:rFonts w:ascii="Arial" w:hAnsi="Arial" w:cs="Arial"/>
          <w:sz w:val="24"/>
          <w:szCs w:val="24"/>
        </w:rPr>
      </w:pPr>
      <w:r w:rsidRPr="00A13F0A">
        <w:rPr>
          <w:rFonts w:ascii="Arial" w:hAnsi="Arial" w:cs="Arial"/>
          <w:sz w:val="24"/>
          <w:szCs w:val="24"/>
        </w:rPr>
        <w:t xml:space="preserve">No campo </w:t>
      </w:r>
      <w:r w:rsidRPr="00A13F0A">
        <w:rPr>
          <w:rFonts w:ascii="Arial" w:hAnsi="Arial" w:cs="Arial"/>
          <w:sz w:val="24"/>
          <w:szCs w:val="24"/>
          <w:u w:val="single"/>
        </w:rPr>
        <w:t>Documento</w:t>
      </w:r>
      <w:r w:rsidRPr="00A13F0A">
        <w:rPr>
          <w:rFonts w:ascii="Arial" w:hAnsi="Arial" w:cs="Arial"/>
          <w:sz w:val="24"/>
          <w:szCs w:val="24"/>
        </w:rPr>
        <w:t xml:space="preserve">, deve ser especificado o instrumento licitatório para o qual </w:t>
      </w:r>
      <w:r w:rsidR="002158EA" w:rsidRPr="00A13F0A">
        <w:rPr>
          <w:rFonts w:ascii="Arial" w:hAnsi="Arial" w:cs="Arial"/>
          <w:sz w:val="24"/>
          <w:szCs w:val="24"/>
        </w:rPr>
        <w:t>está sendo sugerida</w:t>
      </w:r>
      <w:r w:rsidR="00EA1DC4" w:rsidRPr="00A13F0A">
        <w:rPr>
          <w:rFonts w:ascii="Arial" w:hAnsi="Arial" w:cs="Arial"/>
          <w:sz w:val="24"/>
          <w:szCs w:val="24"/>
        </w:rPr>
        <w:t xml:space="preserve"> </w:t>
      </w:r>
      <w:r w:rsidR="002158EA" w:rsidRPr="00A13F0A">
        <w:rPr>
          <w:rFonts w:ascii="Arial" w:hAnsi="Arial" w:cs="Arial"/>
          <w:sz w:val="24"/>
          <w:szCs w:val="24"/>
        </w:rPr>
        <w:t xml:space="preserve">modificação. </w:t>
      </w:r>
      <w:r w:rsidRPr="00A13F0A">
        <w:rPr>
          <w:rFonts w:ascii="Arial" w:hAnsi="Arial" w:cs="Arial"/>
          <w:sz w:val="24"/>
          <w:szCs w:val="24"/>
        </w:rPr>
        <w:t xml:space="preserve">Neste campo, </w:t>
      </w:r>
      <w:r w:rsidR="008A590E" w:rsidRPr="00A13F0A">
        <w:rPr>
          <w:rFonts w:ascii="Arial" w:hAnsi="Arial" w:cs="Arial"/>
          <w:sz w:val="24"/>
          <w:szCs w:val="24"/>
        </w:rPr>
        <w:t xml:space="preserve">deve-se </w:t>
      </w:r>
      <w:r w:rsidRPr="00A13F0A">
        <w:rPr>
          <w:rFonts w:ascii="Arial" w:hAnsi="Arial" w:cs="Arial"/>
          <w:sz w:val="24"/>
          <w:szCs w:val="24"/>
        </w:rPr>
        <w:t xml:space="preserve">digitar </w:t>
      </w:r>
      <w:r w:rsidR="008A590E" w:rsidRPr="00A13F0A">
        <w:rPr>
          <w:rFonts w:ascii="Arial" w:hAnsi="Arial" w:cs="Arial"/>
          <w:sz w:val="24"/>
          <w:szCs w:val="24"/>
        </w:rPr>
        <w:t xml:space="preserve">apenas </w:t>
      </w:r>
      <w:proofErr w:type="spellStart"/>
      <w:r w:rsidR="009403DB" w:rsidRPr="00A13F0A">
        <w:rPr>
          <w:rFonts w:ascii="Arial" w:hAnsi="Arial" w:cs="Arial"/>
          <w:sz w:val="24"/>
          <w:szCs w:val="24"/>
          <w:u w:val="single"/>
        </w:rPr>
        <w:t>p</w:t>
      </w:r>
      <w:r w:rsidR="008A590E" w:rsidRPr="00A13F0A">
        <w:rPr>
          <w:rFonts w:ascii="Arial" w:hAnsi="Arial" w:cs="Arial"/>
          <w:sz w:val="24"/>
          <w:szCs w:val="24"/>
          <w:u w:val="single"/>
        </w:rPr>
        <w:t>ré</w:t>
      </w:r>
      <w:proofErr w:type="spellEnd"/>
      <w:r w:rsidR="008A590E" w:rsidRPr="00A13F0A">
        <w:rPr>
          <w:rFonts w:ascii="Arial" w:hAnsi="Arial" w:cs="Arial"/>
          <w:sz w:val="24"/>
          <w:szCs w:val="24"/>
          <w:u w:val="single"/>
        </w:rPr>
        <w:t>-e</w:t>
      </w:r>
      <w:r w:rsidRPr="00A13F0A">
        <w:rPr>
          <w:rFonts w:ascii="Arial" w:hAnsi="Arial" w:cs="Arial"/>
          <w:sz w:val="24"/>
          <w:szCs w:val="24"/>
          <w:u w:val="single"/>
        </w:rPr>
        <w:t>dital</w:t>
      </w:r>
      <w:r w:rsidRPr="00A13F0A">
        <w:rPr>
          <w:rFonts w:ascii="Arial" w:hAnsi="Arial" w:cs="Arial"/>
          <w:sz w:val="24"/>
          <w:szCs w:val="24"/>
        </w:rPr>
        <w:t xml:space="preserve"> ou </w:t>
      </w:r>
      <w:r w:rsidR="009403DB" w:rsidRPr="00A13F0A">
        <w:rPr>
          <w:rFonts w:ascii="Arial" w:hAnsi="Arial" w:cs="Arial"/>
          <w:sz w:val="24"/>
          <w:szCs w:val="24"/>
          <w:u w:val="single"/>
        </w:rPr>
        <w:t>m</w:t>
      </w:r>
      <w:r w:rsidR="008A590E" w:rsidRPr="00A13F0A">
        <w:rPr>
          <w:rFonts w:ascii="Arial" w:hAnsi="Arial" w:cs="Arial"/>
          <w:sz w:val="24"/>
          <w:szCs w:val="24"/>
          <w:u w:val="single"/>
        </w:rPr>
        <w:t>inuta do c</w:t>
      </w:r>
      <w:r w:rsidRPr="00A13F0A">
        <w:rPr>
          <w:rFonts w:ascii="Arial" w:hAnsi="Arial" w:cs="Arial"/>
          <w:sz w:val="24"/>
          <w:szCs w:val="24"/>
          <w:u w:val="single"/>
        </w:rPr>
        <w:t>ontrato</w:t>
      </w:r>
      <w:r w:rsidRPr="00A13F0A">
        <w:rPr>
          <w:rFonts w:ascii="Arial" w:hAnsi="Arial" w:cs="Arial"/>
          <w:sz w:val="24"/>
          <w:szCs w:val="24"/>
        </w:rPr>
        <w:t>;</w:t>
      </w:r>
    </w:p>
    <w:p w:rsidR="002158EA" w:rsidRPr="00A13F0A" w:rsidRDefault="002158EA" w:rsidP="00B27481">
      <w:pPr>
        <w:pStyle w:val="PargrafodaLista"/>
        <w:numPr>
          <w:ilvl w:val="0"/>
          <w:numId w:val="1"/>
        </w:numPr>
        <w:spacing w:before="120" w:after="120" w:line="360" w:lineRule="auto"/>
        <w:jc w:val="both"/>
        <w:rPr>
          <w:rFonts w:ascii="Arial" w:hAnsi="Arial" w:cs="Arial"/>
          <w:sz w:val="24"/>
          <w:szCs w:val="24"/>
        </w:rPr>
      </w:pPr>
      <w:r w:rsidRPr="00A13F0A">
        <w:rPr>
          <w:rFonts w:ascii="Arial" w:hAnsi="Arial" w:cs="Arial"/>
          <w:sz w:val="24"/>
          <w:szCs w:val="24"/>
        </w:rPr>
        <w:t xml:space="preserve">No campo </w:t>
      </w:r>
      <w:r w:rsidRPr="00A13F0A">
        <w:rPr>
          <w:rFonts w:ascii="Arial" w:hAnsi="Arial" w:cs="Arial"/>
          <w:sz w:val="24"/>
          <w:szCs w:val="24"/>
          <w:u w:val="single"/>
        </w:rPr>
        <w:t>Natureza da sugestão</w:t>
      </w:r>
      <w:r w:rsidR="00EA1DC4" w:rsidRPr="00A13F0A">
        <w:rPr>
          <w:rFonts w:ascii="Arial" w:hAnsi="Arial" w:cs="Arial"/>
          <w:sz w:val="24"/>
          <w:szCs w:val="24"/>
        </w:rPr>
        <w:t>, deve ser indicado</w:t>
      </w:r>
      <w:r w:rsidRPr="00A13F0A">
        <w:rPr>
          <w:rFonts w:ascii="Arial" w:hAnsi="Arial" w:cs="Arial"/>
          <w:sz w:val="24"/>
          <w:szCs w:val="24"/>
        </w:rPr>
        <w:t xml:space="preserve"> se a sugestão proposta é </w:t>
      </w:r>
      <w:r w:rsidR="006E7756" w:rsidRPr="00A13F0A">
        <w:rPr>
          <w:rFonts w:ascii="Arial" w:hAnsi="Arial" w:cs="Arial"/>
          <w:sz w:val="24"/>
          <w:szCs w:val="24"/>
        </w:rPr>
        <w:t xml:space="preserve">de </w:t>
      </w:r>
      <w:r w:rsidRPr="00A13F0A">
        <w:rPr>
          <w:rFonts w:ascii="Arial" w:hAnsi="Arial" w:cs="Arial"/>
          <w:sz w:val="24"/>
          <w:szCs w:val="24"/>
          <w:u w:val="single"/>
        </w:rPr>
        <w:t>Inclusão</w:t>
      </w:r>
      <w:r w:rsidRPr="00A13F0A">
        <w:rPr>
          <w:rFonts w:ascii="Arial" w:hAnsi="Arial" w:cs="Arial"/>
          <w:sz w:val="24"/>
          <w:szCs w:val="24"/>
        </w:rPr>
        <w:t xml:space="preserve">, </w:t>
      </w:r>
      <w:r w:rsidRPr="00A13F0A">
        <w:rPr>
          <w:rFonts w:ascii="Arial" w:hAnsi="Arial" w:cs="Arial"/>
          <w:sz w:val="24"/>
          <w:szCs w:val="24"/>
          <w:u w:val="single"/>
        </w:rPr>
        <w:t>Alteração</w:t>
      </w:r>
      <w:r w:rsidRPr="00A13F0A">
        <w:rPr>
          <w:rFonts w:ascii="Arial" w:hAnsi="Arial" w:cs="Arial"/>
          <w:sz w:val="24"/>
          <w:szCs w:val="24"/>
        </w:rPr>
        <w:t xml:space="preserve"> ou </w:t>
      </w:r>
      <w:r w:rsidRPr="00A13F0A">
        <w:rPr>
          <w:rFonts w:ascii="Arial" w:hAnsi="Arial" w:cs="Arial"/>
          <w:sz w:val="24"/>
          <w:szCs w:val="24"/>
          <w:u w:val="single"/>
        </w:rPr>
        <w:t>Exclusão</w:t>
      </w:r>
      <w:r w:rsidRPr="00A13F0A">
        <w:rPr>
          <w:rFonts w:ascii="Arial" w:hAnsi="Arial" w:cs="Arial"/>
          <w:sz w:val="24"/>
          <w:szCs w:val="24"/>
        </w:rPr>
        <w:t>;</w:t>
      </w:r>
    </w:p>
    <w:p w:rsidR="008A590E" w:rsidRPr="00A13F0A" w:rsidRDefault="0036380F" w:rsidP="00B27481">
      <w:pPr>
        <w:pStyle w:val="PargrafodaLista"/>
        <w:numPr>
          <w:ilvl w:val="0"/>
          <w:numId w:val="1"/>
        </w:numPr>
        <w:spacing w:before="120" w:after="120" w:line="360" w:lineRule="auto"/>
        <w:jc w:val="both"/>
        <w:rPr>
          <w:rFonts w:ascii="Arial" w:hAnsi="Arial" w:cs="Arial"/>
          <w:sz w:val="24"/>
          <w:szCs w:val="24"/>
        </w:rPr>
      </w:pPr>
      <w:r w:rsidRPr="00A13F0A">
        <w:rPr>
          <w:rFonts w:ascii="Arial" w:hAnsi="Arial" w:cs="Arial"/>
          <w:sz w:val="24"/>
          <w:szCs w:val="24"/>
        </w:rPr>
        <w:t xml:space="preserve">No campo </w:t>
      </w:r>
      <w:r w:rsidRPr="00A13F0A">
        <w:rPr>
          <w:rFonts w:ascii="Arial" w:hAnsi="Arial" w:cs="Arial"/>
          <w:sz w:val="24"/>
          <w:szCs w:val="24"/>
          <w:u w:val="single"/>
        </w:rPr>
        <w:t>Item</w:t>
      </w:r>
      <w:r w:rsidR="006E7756" w:rsidRPr="00A13F0A">
        <w:rPr>
          <w:rFonts w:ascii="Arial" w:hAnsi="Arial" w:cs="Arial"/>
          <w:sz w:val="24"/>
          <w:szCs w:val="24"/>
        </w:rPr>
        <w:t>, deve ser discriminado</w:t>
      </w:r>
      <w:r w:rsidRPr="00A13F0A">
        <w:rPr>
          <w:rFonts w:ascii="Arial" w:hAnsi="Arial" w:cs="Arial"/>
          <w:sz w:val="24"/>
          <w:szCs w:val="24"/>
        </w:rPr>
        <w:t xml:space="preserve"> </w:t>
      </w:r>
      <w:r w:rsidR="008A590E" w:rsidRPr="00A13F0A">
        <w:rPr>
          <w:rFonts w:ascii="Arial" w:hAnsi="Arial" w:cs="Arial"/>
          <w:sz w:val="24"/>
          <w:szCs w:val="24"/>
        </w:rPr>
        <w:t xml:space="preserve">o item do </w:t>
      </w:r>
      <w:proofErr w:type="spellStart"/>
      <w:r w:rsidR="009403DB" w:rsidRPr="00A13F0A">
        <w:rPr>
          <w:rFonts w:ascii="Arial" w:hAnsi="Arial" w:cs="Arial"/>
          <w:sz w:val="24"/>
          <w:szCs w:val="24"/>
        </w:rPr>
        <w:t>p</w:t>
      </w:r>
      <w:r w:rsidR="008A590E" w:rsidRPr="00A13F0A">
        <w:rPr>
          <w:rFonts w:ascii="Arial" w:hAnsi="Arial" w:cs="Arial"/>
          <w:sz w:val="24"/>
          <w:szCs w:val="24"/>
        </w:rPr>
        <w:t>ré</w:t>
      </w:r>
      <w:proofErr w:type="spellEnd"/>
      <w:r w:rsidR="008A590E" w:rsidRPr="00A13F0A">
        <w:rPr>
          <w:rFonts w:ascii="Arial" w:hAnsi="Arial" w:cs="Arial"/>
          <w:sz w:val="24"/>
          <w:szCs w:val="24"/>
        </w:rPr>
        <w:t xml:space="preserve">-edital, ou a cláusula da </w:t>
      </w:r>
      <w:r w:rsidR="009403DB" w:rsidRPr="00A13F0A">
        <w:rPr>
          <w:rFonts w:ascii="Arial" w:hAnsi="Arial" w:cs="Arial"/>
          <w:sz w:val="24"/>
          <w:szCs w:val="24"/>
        </w:rPr>
        <w:t>m</w:t>
      </w:r>
      <w:r w:rsidR="008A590E" w:rsidRPr="00A13F0A">
        <w:rPr>
          <w:rFonts w:ascii="Arial" w:hAnsi="Arial" w:cs="Arial"/>
          <w:sz w:val="24"/>
          <w:szCs w:val="24"/>
        </w:rPr>
        <w:t xml:space="preserve">inuta do contrato, ou, ainda, o </w:t>
      </w:r>
      <w:r w:rsidR="009403DB" w:rsidRPr="00A13F0A">
        <w:rPr>
          <w:rFonts w:ascii="Arial" w:hAnsi="Arial" w:cs="Arial"/>
          <w:sz w:val="24"/>
          <w:szCs w:val="24"/>
        </w:rPr>
        <w:t>a</w:t>
      </w:r>
      <w:r w:rsidR="008A590E" w:rsidRPr="00A13F0A">
        <w:rPr>
          <w:rFonts w:ascii="Arial" w:hAnsi="Arial" w:cs="Arial"/>
          <w:sz w:val="24"/>
          <w:szCs w:val="24"/>
        </w:rPr>
        <w:t>nexo p</w:t>
      </w:r>
      <w:r w:rsidR="002158EA" w:rsidRPr="00A13F0A">
        <w:rPr>
          <w:rFonts w:ascii="Arial" w:hAnsi="Arial" w:cs="Arial"/>
          <w:sz w:val="24"/>
          <w:szCs w:val="24"/>
        </w:rPr>
        <w:t xml:space="preserve">ara o qual </w:t>
      </w:r>
      <w:r w:rsidR="00BA4C9C" w:rsidRPr="00A13F0A">
        <w:rPr>
          <w:rFonts w:ascii="Arial" w:hAnsi="Arial" w:cs="Arial"/>
          <w:sz w:val="24"/>
          <w:szCs w:val="24"/>
        </w:rPr>
        <w:t xml:space="preserve">está sendo sugerida modificação. </w:t>
      </w:r>
      <w:r w:rsidR="008A590E" w:rsidRPr="00A13F0A">
        <w:rPr>
          <w:rFonts w:ascii="Arial" w:hAnsi="Arial" w:cs="Arial"/>
          <w:sz w:val="24"/>
          <w:szCs w:val="24"/>
        </w:rPr>
        <w:t xml:space="preserve">Neste campo, deve-se digitar apenas o </w:t>
      </w:r>
      <w:r w:rsidR="008A590E" w:rsidRPr="00A13F0A">
        <w:rPr>
          <w:rFonts w:ascii="Arial" w:hAnsi="Arial" w:cs="Arial"/>
          <w:sz w:val="24"/>
          <w:szCs w:val="24"/>
          <w:u w:val="single"/>
        </w:rPr>
        <w:t>número do item</w:t>
      </w:r>
      <w:r w:rsidR="008A590E" w:rsidRPr="00A13F0A">
        <w:rPr>
          <w:rFonts w:ascii="Arial" w:hAnsi="Arial" w:cs="Arial"/>
          <w:sz w:val="24"/>
          <w:szCs w:val="24"/>
        </w:rPr>
        <w:t xml:space="preserve"> ou o </w:t>
      </w:r>
      <w:r w:rsidR="008A590E" w:rsidRPr="00A13F0A">
        <w:rPr>
          <w:rFonts w:ascii="Arial" w:hAnsi="Arial" w:cs="Arial"/>
          <w:sz w:val="24"/>
          <w:szCs w:val="24"/>
          <w:u w:val="single"/>
        </w:rPr>
        <w:t>número da cláusula</w:t>
      </w:r>
      <w:r w:rsidR="008A590E" w:rsidRPr="00A13F0A">
        <w:rPr>
          <w:rFonts w:ascii="Arial" w:hAnsi="Arial" w:cs="Arial"/>
          <w:sz w:val="24"/>
          <w:szCs w:val="24"/>
        </w:rPr>
        <w:t>, sem detalhar o seu título</w:t>
      </w:r>
      <w:r w:rsidR="000C7F3F" w:rsidRPr="00A13F0A">
        <w:rPr>
          <w:rFonts w:ascii="Arial" w:hAnsi="Arial" w:cs="Arial"/>
          <w:sz w:val="24"/>
          <w:szCs w:val="24"/>
        </w:rPr>
        <w:t>.</w:t>
      </w:r>
      <w:r w:rsidR="00264138" w:rsidRPr="00A13F0A">
        <w:rPr>
          <w:rFonts w:ascii="Arial" w:hAnsi="Arial" w:cs="Arial"/>
          <w:sz w:val="24"/>
          <w:szCs w:val="24"/>
        </w:rPr>
        <w:t xml:space="preserve"> No caso de sugestão à </w:t>
      </w:r>
      <w:r w:rsidR="009403DB" w:rsidRPr="00A13F0A">
        <w:rPr>
          <w:rFonts w:ascii="Arial" w:hAnsi="Arial" w:cs="Arial"/>
          <w:sz w:val="24"/>
          <w:szCs w:val="24"/>
        </w:rPr>
        <w:t>a</w:t>
      </w:r>
      <w:r w:rsidR="00264138" w:rsidRPr="00A13F0A">
        <w:rPr>
          <w:rFonts w:ascii="Arial" w:hAnsi="Arial" w:cs="Arial"/>
          <w:sz w:val="24"/>
          <w:szCs w:val="24"/>
        </w:rPr>
        <w:t xml:space="preserve">nexo, </w:t>
      </w:r>
      <w:r w:rsidR="00FB378C" w:rsidRPr="00A13F0A">
        <w:rPr>
          <w:rFonts w:ascii="Arial" w:hAnsi="Arial" w:cs="Arial"/>
          <w:sz w:val="24"/>
          <w:szCs w:val="24"/>
        </w:rPr>
        <w:t xml:space="preserve">deve-se </w:t>
      </w:r>
      <w:r w:rsidR="00264138" w:rsidRPr="00A13F0A">
        <w:rPr>
          <w:rFonts w:ascii="Arial" w:hAnsi="Arial" w:cs="Arial"/>
          <w:sz w:val="24"/>
          <w:szCs w:val="24"/>
        </w:rPr>
        <w:t xml:space="preserve">incluir o </w:t>
      </w:r>
      <w:r w:rsidR="00264138" w:rsidRPr="00A13F0A">
        <w:rPr>
          <w:rFonts w:ascii="Arial" w:hAnsi="Arial" w:cs="Arial"/>
          <w:sz w:val="24"/>
          <w:szCs w:val="24"/>
          <w:u w:val="single"/>
        </w:rPr>
        <w:t xml:space="preserve">número do </w:t>
      </w:r>
      <w:r w:rsidR="009403DB" w:rsidRPr="00A13F0A">
        <w:rPr>
          <w:rFonts w:ascii="Arial" w:hAnsi="Arial" w:cs="Arial"/>
          <w:sz w:val="24"/>
          <w:szCs w:val="24"/>
          <w:u w:val="single"/>
        </w:rPr>
        <w:t>a</w:t>
      </w:r>
      <w:r w:rsidR="00264138" w:rsidRPr="00A13F0A">
        <w:rPr>
          <w:rFonts w:ascii="Arial" w:hAnsi="Arial" w:cs="Arial"/>
          <w:sz w:val="24"/>
          <w:szCs w:val="24"/>
          <w:u w:val="single"/>
        </w:rPr>
        <w:t>nexo</w:t>
      </w:r>
      <w:r w:rsidR="00264138" w:rsidRPr="00A13F0A">
        <w:rPr>
          <w:rFonts w:ascii="Arial" w:hAnsi="Arial" w:cs="Arial"/>
          <w:sz w:val="24"/>
          <w:szCs w:val="24"/>
        </w:rPr>
        <w:t xml:space="preserve"> e o </w:t>
      </w:r>
      <w:r w:rsidR="00264138" w:rsidRPr="00A13F0A">
        <w:rPr>
          <w:rFonts w:ascii="Arial" w:hAnsi="Arial" w:cs="Arial"/>
          <w:sz w:val="24"/>
          <w:szCs w:val="24"/>
          <w:u w:val="single"/>
        </w:rPr>
        <w:t>número do item</w:t>
      </w:r>
      <w:r w:rsidR="00264138" w:rsidRPr="00A13F0A">
        <w:rPr>
          <w:rFonts w:ascii="Arial" w:hAnsi="Arial" w:cs="Arial"/>
          <w:sz w:val="24"/>
          <w:szCs w:val="24"/>
        </w:rPr>
        <w:t xml:space="preserve"> objeto da sugestão</w:t>
      </w:r>
      <w:r w:rsidR="00FB378C" w:rsidRPr="00A13F0A">
        <w:rPr>
          <w:rFonts w:ascii="Arial" w:hAnsi="Arial" w:cs="Arial"/>
          <w:sz w:val="24"/>
          <w:szCs w:val="24"/>
        </w:rPr>
        <w:t>, caso existente</w:t>
      </w:r>
      <w:r w:rsidR="00264138" w:rsidRPr="00A13F0A">
        <w:rPr>
          <w:rFonts w:ascii="Arial" w:hAnsi="Arial" w:cs="Arial"/>
          <w:sz w:val="24"/>
          <w:szCs w:val="24"/>
        </w:rPr>
        <w:t>.</w:t>
      </w:r>
      <w:r w:rsidR="000C7F3F" w:rsidRPr="00A13F0A">
        <w:rPr>
          <w:rFonts w:ascii="Arial" w:hAnsi="Arial" w:cs="Arial"/>
          <w:sz w:val="24"/>
          <w:szCs w:val="24"/>
        </w:rPr>
        <w:t xml:space="preserve"> </w:t>
      </w:r>
      <w:r w:rsidR="002158EA" w:rsidRPr="00A13F0A">
        <w:rPr>
          <w:rFonts w:ascii="Arial" w:hAnsi="Arial" w:cs="Arial"/>
          <w:sz w:val="24"/>
          <w:szCs w:val="24"/>
        </w:rPr>
        <w:t xml:space="preserve">Caso a sugestão seja de </w:t>
      </w:r>
      <w:r w:rsidR="002158EA" w:rsidRPr="00A13F0A">
        <w:rPr>
          <w:rFonts w:ascii="Arial" w:hAnsi="Arial" w:cs="Arial"/>
          <w:sz w:val="24"/>
          <w:szCs w:val="24"/>
          <w:u w:val="single"/>
        </w:rPr>
        <w:t>Inclusão</w:t>
      </w:r>
      <w:r w:rsidR="002158EA" w:rsidRPr="00A13F0A">
        <w:rPr>
          <w:rFonts w:ascii="Arial" w:hAnsi="Arial" w:cs="Arial"/>
          <w:sz w:val="24"/>
          <w:szCs w:val="24"/>
        </w:rPr>
        <w:t>, deve-se es</w:t>
      </w:r>
      <w:r w:rsidR="00264138" w:rsidRPr="00A13F0A">
        <w:rPr>
          <w:rFonts w:ascii="Arial" w:hAnsi="Arial" w:cs="Arial"/>
          <w:sz w:val="24"/>
          <w:szCs w:val="24"/>
        </w:rPr>
        <w:t>pecificar o número que o item ou a c</w:t>
      </w:r>
      <w:r w:rsidR="002158EA" w:rsidRPr="00A13F0A">
        <w:rPr>
          <w:rFonts w:ascii="Arial" w:hAnsi="Arial" w:cs="Arial"/>
          <w:sz w:val="24"/>
          <w:szCs w:val="24"/>
        </w:rPr>
        <w:t xml:space="preserve">láusula teria </w:t>
      </w:r>
      <w:r w:rsidR="000C7F3F" w:rsidRPr="00A13F0A">
        <w:rPr>
          <w:rFonts w:ascii="Arial" w:hAnsi="Arial" w:cs="Arial"/>
          <w:sz w:val="24"/>
          <w:szCs w:val="24"/>
        </w:rPr>
        <w:t>caso</w:t>
      </w:r>
      <w:r w:rsidR="002158EA" w:rsidRPr="00A13F0A">
        <w:rPr>
          <w:rFonts w:ascii="Arial" w:hAnsi="Arial" w:cs="Arial"/>
          <w:sz w:val="24"/>
          <w:szCs w:val="24"/>
        </w:rPr>
        <w:t xml:space="preserve"> a sugestão fosse acatada pela ANP;</w:t>
      </w:r>
    </w:p>
    <w:p w:rsidR="002158EA" w:rsidRPr="00A13F0A" w:rsidRDefault="002158EA" w:rsidP="00B27481">
      <w:pPr>
        <w:pStyle w:val="PargrafodaLista"/>
        <w:numPr>
          <w:ilvl w:val="0"/>
          <w:numId w:val="1"/>
        </w:numPr>
        <w:spacing w:before="120" w:after="120" w:line="360" w:lineRule="auto"/>
        <w:jc w:val="both"/>
        <w:rPr>
          <w:rFonts w:ascii="Arial" w:hAnsi="Arial" w:cs="Arial"/>
          <w:sz w:val="24"/>
          <w:szCs w:val="24"/>
        </w:rPr>
      </w:pPr>
      <w:r w:rsidRPr="00A13F0A">
        <w:rPr>
          <w:rFonts w:ascii="Arial" w:hAnsi="Arial" w:cs="Arial"/>
          <w:sz w:val="24"/>
          <w:szCs w:val="24"/>
        </w:rPr>
        <w:t xml:space="preserve">No campo </w:t>
      </w:r>
      <w:r w:rsidR="00BA4C9C" w:rsidRPr="00A13F0A">
        <w:rPr>
          <w:rFonts w:ascii="Arial" w:hAnsi="Arial" w:cs="Arial"/>
          <w:sz w:val="24"/>
          <w:szCs w:val="24"/>
          <w:u w:val="single"/>
        </w:rPr>
        <w:t>Proposta de alteração</w:t>
      </w:r>
      <w:r w:rsidR="00BA4C9C" w:rsidRPr="00A13F0A">
        <w:rPr>
          <w:rFonts w:ascii="Arial" w:hAnsi="Arial" w:cs="Arial"/>
          <w:sz w:val="24"/>
          <w:szCs w:val="24"/>
        </w:rPr>
        <w:t xml:space="preserve">, </w:t>
      </w:r>
      <w:r w:rsidR="000C7F3F" w:rsidRPr="00A13F0A">
        <w:rPr>
          <w:rFonts w:ascii="Arial" w:hAnsi="Arial" w:cs="Arial"/>
          <w:sz w:val="24"/>
          <w:szCs w:val="24"/>
        </w:rPr>
        <w:t xml:space="preserve">deve ser redigida a redação proposta para o item, em sua versão final. Não se deve usar texto tachado, negrito, sublinhado ou destacado em cores. Caso a sugestão seja de </w:t>
      </w:r>
      <w:r w:rsidR="000C7F3F" w:rsidRPr="00A13F0A">
        <w:rPr>
          <w:rFonts w:ascii="Arial" w:hAnsi="Arial" w:cs="Arial"/>
          <w:sz w:val="24"/>
          <w:szCs w:val="24"/>
          <w:u w:val="single"/>
        </w:rPr>
        <w:t>Exclusão</w:t>
      </w:r>
      <w:r w:rsidR="00932C2C" w:rsidRPr="00A13F0A">
        <w:rPr>
          <w:rFonts w:ascii="Arial" w:hAnsi="Arial" w:cs="Arial"/>
          <w:sz w:val="24"/>
          <w:szCs w:val="24"/>
        </w:rPr>
        <w:t>, deve-</w:t>
      </w:r>
      <w:r w:rsidR="000C7F3F" w:rsidRPr="00A13F0A">
        <w:rPr>
          <w:rFonts w:ascii="Arial" w:hAnsi="Arial" w:cs="Arial"/>
          <w:sz w:val="24"/>
          <w:szCs w:val="24"/>
        </w:rPr>
        <w:t>se deixar o campo em branco;</w:t>
      </w:r>
    </w:p>
    <w:p w:rsidR="000C7F3F" w:rsidRPr="00A13F0A" w:rsidRDefault="000C7F3F" w:rsidP="00B27481">
      <w:pPr>
        <w:pStyle w:val="PargrafodaLista"/>
        <w:numPr>
          <w:ilvl w:val="0"/>
          <w:numId w:val="1"/>
        </w:numPr>
        <w:spacing w:before="120" w:after="120" w:line="360" w:lineRule="auto"/>
        <w:jc w:val="both"/>
        <w:rPr>
          <w:rFonts w:ascii="Arial" w:hAnsi="Arial" w:cs="Arial"/>
          <w:sz w:val="24"/>
          <w:szCs w:val="24"/>
        </w:rPr>
      </w:pPr>
      <w:r w:rsidRPr="00A13F0A">
        <w:rPr>
          <w:rFonts w:ascii="Arial" w:hAnsi="Arial" w:cs="Arial"/>
          <w:sz w:val="24"/>
          <w:szCs w:val="24"/>
        </w:rPr>
        <w:t xml:space="preserve">No campo </w:t>
      </w:r>
      <w:r w:rsidRPr="00A13F0A">
        <w:rPr>
          <w:rFonts w:ascii="Arial" w:hAnsi="Arial" w:cs="Arial"/>
          <w:sz w:val="24"/>
          <w:szCs w:val="24"/>
          <w:u w:val="single"/>
        </w:rPr>
        <w:t>Justificativa</w:t>
      </w:r>
      <w:r w:rsidRPr="00A13F0A">
        <w:rPr>
          <w:rFonts w:ascii="Arial" w:hAnsi="Arial" w:cs="Arial"/>
          <w:sz w:val="24"/>
          <w:szCs w:val="24"/>
        </w:rPr>
        <w:t xml:space="preserve">, deve ser descrita </w:t>
      </w:r>
      <w:r w:rsidR="00EA1DC4" w:rsidRPr="00A13F0A">
        <w:rPr>
          <w:rFonts w:ascii="Arial" w:hAnsi="Arial" w:cs="Arial"/>
          <w:sz w:val="24"/>
          <w:szCs w:val="24"/>
        </w:rPr>
        <w:t xml:space="preserve">a </w:t>
      </w:r>
      <w:r w:rsidRPr="00A13F0A">
        <w:rPr>
          <w:rFonts w:ascii="Arial" w:hAnsi="Arial" w:cs="Arial"/>
          <w:sz w:val="24"/>
          <w:szCs w:val="24"/>
        </w:rPr>
        <w:t xml:space="preserve">justificativa </w:t>
      </w:r>
      <w:r w:rsidR="00EA1DC4" w:rsidRPr="00A13F0A">
        <w:rPr>
          <w:rFonts w:ascii="Arial" w:hAnsi="Arial" w:cs="Arial"/>
          <w:sz w:val="24"/>
          <w:szCs w:val="24"/>
        </w:rPr>
        <w:t xml:space="preserve">para a sugestão proposta. </w:t>
      </w:r>
    </w:p>
    <w:p w:rsidR="006E7756" w:rsidRPr="00A13F0A" w:rsidRDefault="006E7756" w:rsidP="008A590E">
      <w:pPr>
        <w:rPr>
          <w:rFonts w:ascii="Arial" w:hAnsi="Arial" w:cs="Arial"/>
          <w:sz w:val="24"/>
          <w:szCs w:val="24"/>
        </w:rPr>
      </w:pPr>
    </w:p>
    <w:p w:rsidR="00FB378C" w:rsidRPr="00A13F0A" w:rsidRDefault="00FB378C" w:rsidP="008A590E">
      <w:pPr>
        <w:rPr>
          <w:rFonts w:ascii="Arial" w:hAnsi="Arial" w:cs="Arial"/>
          <w:b/>
          <w:sz w:val="24"/>
          <w:szCs w:val="24"/>
        </w:rPr>
      </w:pPr>
    </w:p>
    <w:p w:rsidR="00FB378C" w:rsidRPr="00A13F0A" w:rsidRDefault="00FB378C" w:rsidP="008A590E">
      <w:pPr>
        <w:rPr>
          <w:rFonts w:ascii="Arial" w:hAnsi="Arial" w:cs="Arial"/>
          <w:b/>
          <w:sz w:val="24"/>
          <w:szCs w:val="24"/>
        </w:rPr>
      </w:pPr>
    </w:p>
    <w:p w:rsidR="00FB378C" w:rsidRPr="00A13F0A" w:rsidRDefault="00FB378C" w:rsidP="008A590E">
      <w:pPr>
        <w:rPr>
          <w:rFonts w:ascii="Arial" w:hAnsi="Arial" w:cs="Arial"/>
          <w:b/>
          <w:sz w:val="24"/>
          <w:szCs w:val="24"/>
        </w:rPr>
      </w:pPr>
    </w:p>
    <w:p w:rsidR="00006A74" w:rsidRPr="00A13F0A" w:rsidRDefault="00006A74" w:rsidP="008A590E">
      <w:pPr>
        <w:rPr>
          <w:rFonts w:ascii="Arial" w:hAnsi="Arial" w:cs="Arial"/>
          <w:b/>
          <w:sz w:val="24"/>
          <w:szCs w:val="24"/>
        </w:rPr>
      </w:pPr>
    </w:p>
    <w:p w:rsidR="006E3142" w:rsidRPr="00A13F0A" w:rsidRDefault="006E3142" w:rsidP="00615A71">
      <w:pPr>
        <w:spacing w:before="120" w:after="120" w:line="360" w:lineRule="auto"/>
        <w:jc w:val="center"/>
        <w:rPr>
          <w:rFonts w:ascii="Arial" w:hAnsi="Arial" w:cs="Arial"/>
          <w:b/>
        </w:rPr>
      </w:pPr>
      <w:r w:rsidRPr="00A13F0A">
        <w:rPr>
          <w:rFonts w:ascii="Arial" w:hAnsi="Arial" w:cs="Arial"/>
          <w:b/>
          <w:sz w:val="28"/>
        </w:rPr>
        <w:lastRenderedPageBreak/>
        <w:t>FORMULÁRIO DE COMENTÁRIOS E SUGESTÕES</w:t>
      </w:r>
    </w:p>
    <w:p w:rsidR="006E3142" w:rsidRPr="00A13F0A" w:rsidRDefault="006E3142" w:rsidP="00615A71">
      <w:pPr>
        <w:pStyle w:val="Legenda"/>
        <w:spacing w:before="120" w:after="120" w:line="360" w:lineRule="auto"/>
        <w:jc w:val="center"/>
        <w:rPr>
          <w:rFonts w:cs="Arial"/>
        </w:rPr>
      </w:pPr>
      <w:r w:rsidRPr="00A13F0A">
        <w:rPr>
          <w:rFonts w:cs="Arial"/>
        </w:rPr>
        <w:t xml:space="preserve">CONSULTA PÚBLICA Nº </w:t>
      </w:r>
      <w:r w:rsidR="00F34DFC" w:rsidRPr="00A13F0A">
        <w:rPr>
          <w:rFonts w:cs="Arial"/>
        </w:rPr>
        <w:t>09</w:t>
      </w:r>
      <w:r w:rsidRPr="00A13F0A">
        <w:rPr>
          <w:rFonts w:cs="Arial"/>
        </w:rPr>
        <w:t>/201</w:t>
      </w:r>
      <w:r w:rsidR="002A1E27" w:rsidRPr="00A13F0A">
        <w:rPr>
          <w:rFonts w:cs="Arial"/>
        </w:rPr>
        <w:t>7</w:t>
      </w:r>
    </w:p>
    <w:p w:rsidR="006E3142" w:rsidRPr="00A13F0A" w:rsidRDefault="006E3142" w:rsidP="00842086">
      <w:pPr>
        <w:pStyle w:val="Legenda"/>
        <w:jc w:val="both"/>
        <w:rPr>
          <w:rFonts w:cs="Arial"/>
          <w:b/>
          <w:szCs w:val="24"/>
        </w:rPr>
      </w:pPr>
    </w:p>
    <w:tbl>
      <w:tblPr>
        <w:tblStyle w:val="Tabelacomgrade"/>
        <w:tblW w:w="5000" w:type="pct"/>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ook w:val="04A0" w:firstRow="1" w:lastRow="0" w:firstColumn="1" w:lastColumn="0" w:noHBand="0" w:noVBand="1"/>
      </w:tblPr>
      <w:tblGrid>
        <w:gridCol w:w="1536"/>
        <w:gridCol w:w="1720"/>
        <w:gridCol w:w="1012"/>
        <w:gridCol w:w="4255"/>
        <w:gridCol w:w="5427"/>
      </w:tblGrid>
      <w:tr w:rsidR="006E3142" w:rsidRPr="00A13F0A" w:rsidTr="00C8239C">
        <w:trPr>
          <w:trHeight w:val="850"/>
          <w:tblHeader/>
        </w:trPr>
        <w:tc>
          <w:tcPr>
            <w:tcW w:w="551" w:type="pct"/>
            <w:tcBorders>
              <w:bottom w:val="dashSmallGap" w:sz="4" w:space="0" w:color="BFBFBF" w:themeColor="background1" w:themeShade="BF"/>
            </w:tcBorders>
            <w:vAlign w:val="center"/>
          </w:tcPr>
          <w:p w:rsidR="006E3142" w:rsidRPr="00A13F0A" w:rsidRDefault="006E3142" w:rsidP="006D7EF0">
            <w:pPr>
              <w:pStyle w:val="Legenda"/>
              <w:jc w:val="center"/>
              <w:rPr>
                <w:rFonts w:cs="Arial"/>
                <w:b/>
                <w:color w:val="000000" w:themeColor="text1"/>
                <w:szCs w:val="24"/>
              </w:rPr>
            </w:pPr>
            <w:r w:rsidRPr="00A13F0A">
              <w:rPr>
                <w:rFonts w:cs="Arial"/>
                <w:b/>
                <w:color w:val="000000" w:themeColor="text1"/>
                <w:szCs w:val="24"/>
              </w:rPr>
              <w:t>Documento</w:t>
            </w:r>
          </w:p>
        </w:tc>
        <w:tc>
          <w:tcPr>
            <w:tcW w:w="616" w:type="pct"/>
            <w:tcBorders>
              <w:bottom w:val="dashSmallGap" w:sz="4" w:space="0" w:color="BFBFBF" w:themeColor="background1" w:themeShade="BF"/>
            </w:tcBorders>
            <w:vAlign w:val="center"/>
          </w:tcPr>
          <w:p w:rsidR="006E3142" w:rsidRPr="00A13F0A" w:rsidRDefault="006E3142" w:rsidP="006D7EF0">
            <w:pPr>
              <w:pStyle w:val="Legenda"/>
              <w:jc w:val="center"/>
              <w:rPr>
                <w:rFonts w:cs="Arial"/>
                <w:b/>
                <w:color w:val="000000" w:themeColor="text1"/>
                <w:szCs w:val="24"/>
              </w:rPr>
            </w:pPr>
            <w:r w:rsidRPr="00A13F0A">
              <w:rPr>
                <w:rFonts w:cs="Arial"/>
                <w:b/>
                <w:color w:val="000000" w:themeColor="text1"/>
                <w:szCs w:val="24"/>
              </w:rPr>
              <w:t>Natureza da sugestão</w:t>
            </w:r>
          </w:p>
        </w:tc>
        <w:tc>
          <w:tcPr>
            <w:tcW w:w="363" w:type="pct"/>
            <w:tcBorders>
              <w:bottom w:val="dashSmallGap" w:sz="4" w:space="0" w:color="BFBFBF" w:themeColor="background1" w:themeShade="BF"/>
            </w:tcBorders>
            <w:vAlign w:val="center"/>
          </w:tcPr>
          <w:p w:rsidR="006E3142" w:rsidRPr="00A13F0A" w:rsidRDefault="006E3142" w:rsidP="006D7EF0">
            <w:pPr>
              <w:pStyle w:val="Legenda"/>
              <w:jc w:val="center"/>
              <w:rPr>
                <w:rFonts w:cs="Arial"/>
                <w:b/>
                <w:color w:val="000000" w:themeColor="text1"/>
                <w:szCs w:val="24"/>
              </w:rPr>
            </w:pPr>
            <w:r w:rsidRPr="00A13F0A">
              <w:rPr>
                <w:rFonts w:cs="Arial"/>
                <w:b/>
                <w:color w:val="000000" w:themeColor="text1"/>
                <w:szCs w:val="24"/>
              </w:rPr>
              <w:t>Item</w:t>
            </w:r>
          </w:p>
        </w:tc>
        <w:tc>
          <w:tcPr>
            <w:tcW w:w="1525" w:type="pct"/>
            <w:tcBorders>
              <w:bottom w:val="dashSmallGap" w:sz="4" w:space="0" w:color="BFBFBF" w:themeColor="background1" w:themeShade="BF"/>
            </w:tcBorders>
            <w:vAlign w:val="center"/>
          </w:tcPr>
          <w:p w:rsidR="006E3142" w:rsidRPr="00A13F0A" w:rsidRDefault="006E3142" w:rsidP="006D7EF0">
            <w:pPr>
              <w:pStyle w:val="Legenda"/>
              <w:jc w:val="center"/>
              <w:rPr>
                <w:rFonts w:cs="Arial"/>
                <w:b/>
                <w:color w:val="000000" w:themeColor="text1"/>
                <w:szCs w:val="24"/>
              </w:rPr>
            </w:pPr>
            <w:r w:rsidRPr="00A13F0A">
              <w:rPr>
                <w:rFonts w:cs="Arial"/>
                <w:b/>
                <w:color w:val="000000" w:themeColor="text1"/>
                <w:szCs w:val="24"/>
              </w:rPr>
              <w:t>Proposta de alteração</w:t>
            </w:r>
          </w:p>
        </w:tc>
        <w:tc>
          <w:tcPr>
            <w:tcW w:w="1945" w:type="pct"/>
            <w:tcBorders>
              <w:bottom w:val="dashSmallGap" w:sz="4" w:space="0" w:color="BFBFBF" w:themeColor="background1" w:themeShade="BF"/>
            </w:tcBorders>
            <w:vAlign w:val="center"/>
          </w:tcPr>
          <w:p w:rsidR="006E3142" w:rsidRPr="00A13F0A" w:rsidRDefault="006E3142" w:rsidP="008B1682">
            <w:pPr>
              <w:pStyle w:val="Legenda"/>
              <w:jc w:val="center"/>
              <w:rPr>
                <w:rFonts w:cs="Arial"/>
                <w:b/>
                <w:color w:val="000000" w:themeColor="text1"/>
                <w:szCs w:val="24"/>
              </w:rPr>
            </w:pPr>
            <w:r w:rsidRPr="00A13F0A">
              <w:rPr>
                <w:rFonts w:cs="Arial"/>
                <w:b/>
                <w:color w:val="000000" w:themeColor="text1"/>
                <w:szCs w:val="24"/>
              </w:rPr>
              <w:t>Justificativa</w:t>
            </w:r>
          </w:p>
        </w:tc>
      </w:tr>
      <w:tr w:rsidR="001B103F" w:rsidRPr="00A13F0A" w:rsidTr="00C8239C">
        <w:trPr>
          <w:trHeight w:val="2268"/>
        </w:trPr>
        <w:tc>
          <w:tcPr>
            <w:tcW w:w="551" w:type="pct"/>
            <w:vAlign w:val="center"/>
          </w:tcPr>
          <w:p w:rsidR="001B103F" w:rsidRPr="001B103F" w:rsidRDefault="001B103F" w:rsidP="00C4314B">
            <w:pPr>
              <w:pStyle w:val="Legenda"/>
              <w:spacing w:before="120" w:after="120"/>
              <w:jc w:val="center"/>
              <w:rPr>
                <w:rFonts w:cs="Arial"/>
                <w:color w:val="000000" w:themeColor="text1"/>
                <w:sz w:val="22"/>
                <w:szCs w:val="22"/>
              </w:rPr>
            </w:pPr>
            <w:proofErr w:type="spellStart"/>
            <w:r w:rsidRPr="001B103F">
              <w:rPr>
                <w:rFonts w:cs="Arial"/>
                <w:color w:val="000000" w:themeColor="text1"/>
                <w:sz w:val="22"/>
                <w:szCs w:val="22"/>
              </w:rPr>
              <w:t>Pré</w:t>
            </w:r>
            <w:proofErr w:type="spellEnd"/>
            <w:r w:rsidRPr="001B103F">
              <w:rPr>
                <w:rFonts w:cs="Arial"/>
                <w:color w:val="000000" w:themeColor="text1"/>
                <w:sz w:val="22"/>
                <w:szCs w:val="22"/>
              </w:rPr>
              <w:t>-edital</w:t>
            </w:r>
          </w:p>
        </w:tc>
        <w:tc>
          <w:tcPr>
            <w:tcW w:w="616" w:type="pct"/>
            <w:vAlign w:val="center"/>
          </w:tcPr>
          <w:p w:rsidR="001B103F" w:rsidRPr="001B103F" w:rsidRDefault="001B103F" w:rsidP="00C4314B">
            <w:pPr>
              <w:pStyle w:val="Legenda"/>
              <w:spacing w:before="120" w:after="120"/>
              <w:jc w:val="center"/>
              <w:rPr>
                <w:rFonts w:cs="Arial"/>
                <w:color w:val="000000" w:themeColor="text1"/>
                <w:sz w:val="22"/>
                <w:szCs w:val="22"/>
              </w:rPr>
            </w:pPr>
            <w:r w:rsidRPr="001B103F">
              <w:rPr>
                <w:rFonts w:cs="Arial"/>
                <w:color w:val="000000" w:themeColor="text1"/>
                <w:sz w:val="22"/>
                <w:szCs w:val="22"/>
              </w:rPr>
              <w:t>Alteração</w:t>
            </w:r>
          </w:p>
        </w:tc>
        <w:tc>
          <w:tcPr>
            <w:tcW w:w="363" w:type="pct"/>
            <w:vAlign w:val="center"/>
          </w:tcPr>
          <w:p w:rsidR="001B103F" w:rsidRPr="001B103F" w:rsidRDefault="001B103F" w:rsidP="00C4314B">
            <w:pPr>
              <w:pStyle w:val="Legenda"/>
              <w:jc w:val="center"/>
              <w:rPr>
                <w:rFonts w:cs="Arial"/>
                <w:color w:val="000000" w:themeColor="text1"/>
                <w:sz w:val="22"/>
                <w:szCs w:val="22"/>
              </w:rPr>
            </w:pPr>
            <w:r>
              <w:rPr>
                <w:rFonts w:cs="Arial"/>
                <w:color w:val="000000" w:themeColor="text1"/>
                <w:sz w:val="22"/>
                <w:szCs w:val="22"/>
              </w:rPr>
              <w:t>5.4</w:t>
            </w:r>
          </w:p>
        </w:tc>
        <w:tc>
          <w:tcPr>
            <w:tcW w:w="1525" w:type="pct"/>
            <w:vAlign w:val="center"/>
          </w:tcPr>
          <w:p w:rsidR="001B103F" w:rsidRPr="001B103F" w:rsidRDefault="001B103F" w:rsidP="006D7EF0">
            <w:pPr>
              <w:pStyle w:val="Legenda"/>
              <w:jc w:val="both"/>
              <w:rPr>
                <w:rFonts w:cs="Arial"/>
                <w:color w:val="000000" w:themeColor="text1"/>
                <w:sz w:val="22"/>
                <w:szCs w:val="22"/>
              </w:rPr>
            </w:pPr>
            <w:r w:rsidRPr="001B103F">
              <w:rPr>
                <w:rFonts w:cs="Arial"/>
                <w:color w:val="000000" w:themeColor="text1"/>
                <w:sz w:val="22"/>
                <w:szCs w:val="22"/>
              </w:rPr>
              <w:t>As garantias de oferta poderão ser fornecidas nas seguintes modalidades: (i) carta de crédito; (</w:t>
            </w:r>
            <w:proofErr w:type="spellStart"/>
            <w:r w:rsidRPr="001B103F">
              <w:rPr>
                <w:rFonts w:cs="Arial"/>
                <w:color w:val="000000" w:themeColor="text1"/>
                <w:sz w:val="22"/>
                <w:szCs w:val="22"/>
              </w:rPr>
              <w:t>ii</w:t>
            </w:r>
            <w:proofErr w:type="spellEnd"/>
            <w:r w:rsidRPr="001B103F">
              <w:rPr>
                <w:rFonts w:cs="Arial"/>
                <w:color w:val="000000" w:themeColor="text1"/>
                <w:sz w:val="22"/>
                <w:szCs w:val="22"/>
              </w:rPr>
              <w:t>) seguro garantia; (</w:t>
            </w:r>
            <w:proofErr w:type="spellStart"/>
            <w:r w:rsidRPr="001B103F">
              <w:rPr>
                <w:rFonts w:cs="Arial"/>
                <w:color w:val="000000" w:themeColor="text1"/>
                <w:sz w:val="22"/>
                <w:szCs w:val="22"/>
              </w:rPr>
              <w:t>iii</w:t>
            </w:r>
            <w:proofErr w:type="spellEnd"/>
            <w:r w:rsidRPr="001B103F">
              <w:rPr>
                <w:rFonts w:cs="Arial"/>
                <w:color w:val="000000" w:themeColor="text1"/>
                <w:sz w:val="22"/>
                <w:szCs w:val="22"/>
              </w:rPr>
              <w:t>) caução em dinheiro; e (</w:t>
            </w:r>
            <w:proofErr w:type="spellStart"/>
            <w:r w:rsidRPr="001B103F">
              <w:rPr>
                <w:rFonts w:cs="Arial"/>
                <w:color w:val="000000" w:themeColor="text1"/>
                <w:sz w:val="22"/>
                <w:szCs w:val="22"/>
              </w:rPr>
              <w:t>iv</w:t>
            </w:r>
            <w:proofErr w:type="spellEnd"/>
            <w:r w:rsidRPr="001B103F">
              <w:rPr>
                <w:rFonts w:cs="Arial"/>
                <w:color w:val="000000" w:themeColor="text1"/>
                <w:sz w:val="22"/>
                <w:szCs w:val="22"/>
              </w:rPr>
              <w:t>) penhor de petróleo.</w:t>
            </w:r>
          </w:p>
        </w:tc>
        <w:tc>
          <w:tcPr>
            <w:tcW w:w="1945" w:type="pct"/>
            <w:vAlign w:val="center"/>
          </w:tcPr>
          <w:p w:rsidR="001B103F" w:rsidRPr="001B103F" w:rsidRDefault="001B103F" w:rsidP="008B1682">
            <w:pPr>
              <w:pStyle w:val="Legenda"/>
              <w:jc w:val="both"/>
              <w:rPr>
                <w:rFonts w:cs="Arial"/>
                <w:color w:val="000000" w:themeColor="text1"/>
                <w:sz w:val="22"/>
                <w:szCs w:val="22"/>
              </w:rPr>
            </w:pPr>
            <w:r w:rsidRPr="001B103F">
              <w:rPr>
                <w:rFonts w:cs="Arial"/>
                <w:color w:val="000000" w:themeColor="text1"/>
                <w:sz w:val="22"/>
                <w:szCs w:val="22"/>
              </w:rPr>
              <w:t>Adicionar alternativa aos Concessionários para a garantia de oferta. Essa modalidade já foi aceita pela ANP anteriormente.</w:t>
            </w:r>
          </w:p>
        </w:tc>
      </w:tr>
      <w:tr w:rsidR="00365A2A" w:rsidRPr="00A13F0A" w:rsidTr="00C8239C">
        <w:trPr>
          <w:trHeight w:val="2268"/>
        </w:trPr>
        <w:tc>
          <w:tcPr>
            <w:tcW w:w="551" w:type="pct"/>
            <w:vAlign w:val="center"/>
          </w:tcPr>
          <w:p w:rsidR="00365A2A" w:rsidRPr="001B103F" w:rsidRDefault="00365A2A" w:rsidP="00365A2A">
            <w:pPr>
              <w:pStyle w:val="Legenda"/>
              <w:spacing w:before="120" w:after="120"/>
              <w:jc w:val="center"/>
              <w:rPr>
                <w:rFonts w:cs="Arial"/>
                <w:color w:val="000000" w:themeColor="text1"/>
                <w:sz w:val="22"/>
                <w:szCs w:val="22"/>
              </w:rPr>
            </w:pPr>
            <w:proofErr w:type="spellStart"/>
            <w:r w:rsidRPr="001B103F">
              <w:rPr>
                <w:rFonts w:cs="Arial"/>
                <w:color w:val="000000" w:themeColor="text1"/>
                <w:sz w:val="22"/>
                <w:szCs w:val="22"/>
              </w:rPr>
              <w:t>Pré</w:t>
            </w:r>
            <w:proofErr w:type="spellEnd"/>
            <w:r w:rsidRPr="001B103F">
              <w:rPr>
                <w:rFonts w:cs="Arial"/>
                <w:color w:val="000000" w:themeColor="text1"/>
                <w:sz w:val="22"/>
                <w:szCs w:val="22"/>
              </w:rPr>
              <w:t>-edital</w:t>
            </w:r>
          </w:p>
        </w:tc>
        <w:tc>
          <w:tcPr>
            <w:tcW w:w="616" w:type="pct"/>
            <w:vAlign w:val="center"/>
          </w:tcPr>
          <w:p w:rsidR="00365A2A" w:rsidRPr="001B103F" w:rsidRDefault="00365A2A" w:rsidP="00365A2A">
            <w:pPr>
              <w:pStyle w:val="Legenda"/>
              <w:spacing w:before="120" w:after="120"/>
              <w:jc w:val="center"/>
              <w:rPr>
                <w:rFonts w:cs="Arial"/>
                <w:color w:val="000000" w:themeColor="text1"/>
                <w:sz w:val="22"/>
                <w:szCs w:val="22"/>
              </w:rPr>
            </w:pPr>
            <w:r w:rsidRPr="001B103F">
              <w:rPr>
                <w:rFonts w:cs="Arial"/>
                <w:color w:val="000000" w:themeColor="text1"/>
                <w:sz w:val="22"/>
                <w:szCs w:val="22"/>
              </w:rPr>
              <w:t>Alteração</w:t>
            </w:r>
          </w:p>
        </w:tc>
        <w:tc>
          <w:tcPr>
            <w:tcW w:w="363" w:type="pct"/>
            <w:vAlign w:val="center"/>
          </w:tcPr>
          <w:p w:rsidR="00365A2A" w:rsidRPr="001B103F" w:rsidRDefault="00365A2A" w:rsidP="00365A2A">
            <w:pPr>
              <w:pStyle w:val="Legenda"/>
              <w:spacing w:before="120" w:after="120"/>
              <w:jc w:val="center"/>
              <w:rPr>
                <w:rFonts w:cs="Arial"/>
                <w:color w:val="000000" w:themeColor="text1"/>
                <w:sz w:val="22"/>
                <w:szCs w:val="22"/>
              </w:rPr>
            </w:pPr>
            <w:r>
              <w:rPr>
                <w:rFonts w:cs="Arial"/>
                <w:color w:val="000000" w:themeColor="text1"/>
                <w:sz w:val="22"/>
                <w:szCs w:val="22"/>
              </w:rPr>
              <w:t>9.1.2</w:t>
            </w:r>
          </w:p>
        </w:tc>
        <w:tc>
          <w:tcPr>
            <w:tcW w:w="1525" w:type="pct"/>
            <w:vAlign w:val="center"/>
          </w:tcPr>
          <w:p w:rsidR="00365A2A" w:rsidRPr="001B103F" w:rsidRDefault="00365A2A" w:rsidP="006D7EF0">
            <w:pPr>
              <w:autoSpaceDE w:val="0"/>
              <w:autoSpaceDN w:val="0"/>
              <w:adjustRightInd w:val="0"/>
              <w:jc w:val="both"/>
              <w:rPr>
                <w:rFonts w:ascii="Arial" w:hAnsi="Arial" w:cs="Arial"/>
                <w:bCs/>
                <w:color w:val="000000"/>
                <w:sz w:val="22"/>
                <w:szCs w:val="22"/>
                <w:lang w:eastAsia="en-US"/>
              </w:rPr>
            </w:pPr>
            <w:r w:rsidRPr="00365A2A">
              <w:rPr>
                <w:rFonts w:ascii="Arial" w:hAnsi="Arial" w:cs="Arial"/>
                <w:bCs/>
                <w:color w:val="000000"/>
                <w:sz w:val="22"/>
                <w:szCs w:val="22"/>
                <w:lang w:eastAsia="en-US"/>
              </w:rPr>
              <w:t>Quando a licitante vencedora for um consórcio, as garantias apresentadas deverão ser acompanhadas de carta subscrita por todas as consorciadas, nos termos do ANEXO XXVI, expressando plena ciência do parágrafo 14.4 do Contrato de Concessão e de que as obrigações do programa exploratório mínimo são divisíveis, cabendo à cada consorciada, solidariamente, a obrigação de ressarcimento em caso de seu descumprimento.</w:t>
            </w:r>
          </w:p>
        </w:tc>
        <w:tc>
          <w:tcPr>
            <w:tcW w:w="1945" w:type="pct"/>
            <w:vAlign w:val="center"/>
          </w:tcPr>
          <w:p w:rsidR="00365A2A" w:rsidRPr="001B103F" w:rsidRDefault="00365A2A" w:rsidP="008B1682">
            <w:pPr>
              <w:pStyle w:val="Legenda"/>
              <w:spacing w:before="120" w:after="120"/>
              <w:jc w:val="both"/>
              <w:rPr>
                <w:rFonts w:cs="Arial"/>
                <w:color w:val="000000"/>
                <w:sz w:val="22"/>
                <w:szCs w:val="22"/>
                <w:lang w:eastAsia="en-US"/>
              </w:rPr>
            </w:pPr>
            <w:r w:rsidRPr="00365A2A">
              <w:rPr>
                <w:rFonts w:cs="Arial"/>
                <w:color w:val="000000"/>
                <w:sz w:val="22"/>
                <w:szCs w:val="22"/>
                <w:lang w:eastAsia="en-US"/>
              </w:rPr>
              <w:t>O fato de haver solidariedade já traz segurança suficiente à ANP quanto ao cumprimento ou ressarcimento do PEM. A indivisibilidade trará uma duplicidade no atendimento a essa obrigação contratual.</w:t>
            </w:r>
          </w:p>
        </w:tc>
      </w:tr>
      <w:tr w:rsidR="00895AED" w:rsidRPr="00A13F0A" w:rsidTr="00C8239C">
        <w:trPr>
          <w:trHeight w:val="2268"/>
        </w:trPr>
        <w:tc>
          <w:tcPr>
            <w:tcW w:w="551" w:type="pct"/>
            <w:vAlign w:val="center"/>
          </w:tcPr>
          <w:p w:rsidR="00895AED" w:rsidRDefault="00895AED" w:rsidP="00895AED">
            <w:pPr>
              <w:jc w:val="center"/>
              <w:rPr>
                <w:rFonts w:ascii="Arial" w:hAnsi="Arial" w:cs="Arial"/>
                <w:color w:val="000000"/>
                <w:sz w:val="22"/>
                <w:szCs w:val="22"/>
              </w:rPr>
            </w:pPr>
            <w:proofErr w:type="spellStart"/>
            <w:r>
              <w:rPr>
                <w:rFonts w:ascii="Arial" w:hAnsi="Arial" w:cs="Arial"/>
                <w:color w:val="000000"/>
                <w:sz w:val="22"/>
                <w:szCs w:val="22"/>
              </w:rPr>
              <w:lastRenderedPageBreak/>
              <w:t>Pré</w:t>
            </w:r>
            <w:proofErr w:type="spellEnd"/>
            <w:r>
              <w:rPr>
                <w:rFonts w:ascii="Arial" w:hAnsi="Arial" w:cs="Arial"/>
                <w:color w:val="000000"/>
                <w:sz w:val="22"/>
                <w:szCs w:val="22"/>
              </w:rPr>
              <w:t>-Edital</w:t>
            </w:r>
          </w:p>
        </w:tc>
        <w:tc>
          <w:tcPr>
            <w:tcW w:w="616" w:type="pct"/>
            <w:vAlign w:val="center"/>
          </w:tcPr>
          <w:p w:rsidR="00895AED" w:rsidRDefault="00895AED" w:rsidP="00895AED">
            <w:pPr>
              <w:jc w:val="center"/>
              <w:rPr>
                <w:rFonts w:ascii="Arial" w:hAnsi="Arial" w:cs="Arial"/>
                <w:color w:val="000000"/>
                <w:sz w:val="22"/>
                <w:szCs w:val="22"/>
              </w:rPr>
            </w:pPr>
            <w:r>
              <w:rPr>
                <w:rFonts w:ascii="Arial" w:hAnsi="Arial" w:cs="Arial"/>
                <w:color w:val="000000"/>
                <w:sz w:val="22"/>
                <w:szCs w:val="22"/>
              </w:rPr>
              <w:t>Alteração</w:t>
            </w:r>
          </w:p>
        </w:tc>
        <w:tc>
          <w:tcPr>
            <w:tcW w:w="363" w:type="pct"/>
            <w:vAlign w:val="center"/>
          </w:tcPr>
          <w:p w:rsidR="00895AED" w:rsidRDefault="00895AED" w:rsidP="00895AED">
            <w:pPr>
              <w:pStyle w:val="Edital-TabelaTtulo"/>
              <w:rPr>
                <w:rFonts w:cs="Arial"/>
                <w:b w:val="0"/>
                <w:sz w:val="22"/>
                <w:szCs w:val="22"/>
              </w:rPr>
            </w:pPr>
            <w:r>
              <w:rPr>
                <w:rFonts w:cs="Arial"/>
                <w:b w:val="0"/>
                <w:sz w:val="22"/>
                <w:szCs w:val="22"/>
              </w:rPr>
              <w:t>10.2</w:t>
            </w:r>
          </w:p>
        </w:tc>
        <w:tc>
          <w:tcPr>
            <w:tcW w:w="1525" w:type="pct"/>
            <w:vAlign w:val="center"/>
          </w:tcPr>
          <w:p w:rsidR="00895AED" w:rsidRPr="00895AED" w:rsidRDefault="00895AED" w:rsidP="006D7EF0">
            <w:pPr>
              <w:pStyle w:val="Edital-Corpodetexto"/>
              <w:spacing w:line="240" w:lineRule="auto"/>
              <w:ind w:firstLine="0"/>
            </w:pPr>
            <w:r>
              <w:t>A</w:t>
            </w:r>
            <w:r w:rsidRPr="00AC3B25">
              <w:t xml:space="preserve"> suspensão temporária do direito de participar de futuras licitações</w:t>
            </w:r>
            <w:r>
              <w:t xml:space="preserve"> promovidas pela ANP, assim como </w:t>
            </w:r>
            <w:r w:rsidRPr="00AC3B25">
              <w:t>de contratar com a ANP</w:t>
            </w:r>
            <w:r w:rsidRPr="001525FE">
              <w:t xml:space="preserve"> </w:t>
            </w:r>
            <w:r>
              <w:t>poderá ser aplicada, sem prejuízo das demais penalidades, caso a infratora seja reincidente em ser convocada e não assinar o contrato até a data definida pela ANP, e não apresente justificativa técnica, aceita pela ANP, fundamentada em fato posterior à sessão pública de apresentação de ofertas.</w:t>
            </w:r>
          </w:p>
        </w:tc>
        <w:tc>
          <w:tcPr>
            <w:tcW w:w="1945" w:type="pct"/>
            <w:vAlign w:val="center"/>
          </w:tcPr>
          <w:p w:rsidR="00895AED" w:rsidRDefault="00895AED" w:rsidP="008B1682">
            <w:pPr>
              <w:jc w:val="both"/>
              <w:rPr>
                <w:rFonts w:ascii="Arial" w:hAnsi="Arial" w:cs="Arial"/>
                <w:color w:val="000000"/>
                <w:sz w:val="22"/>
                <w:szCs w:val="22"/>
              </w:rPr>
            </w:pPr>
            <w:r>
              <w:rPr>
                <w:rFonts w:ascii="Arial" w:hAnsi="Arial" w:cs="Arial"/>
                <w:color w:val="000000"/>
                <w:sz w:val="22"/>
                <w:szCs w:val="22"/>
              </w:rPr>
              <w:t>Esclarecimento de que se tratam de uma restrição exclusivamente para licitações promovidas pela ANP. Alteração permite flexibilidade para a ação da Agência.</w:t>
            </w:r>
          </w:p>
        </w:tc>
      </w:tr>
      <w:tr w:rsidR="001D0E5D" w:rsidRPr="00A13F0A" w:rsidTr="00C8239C">
        <w:trPr>
          <w:trHeight w:val="2268"/>
        </w:trPr>
        <w:tc>
          <w:tcPr>
            <w:tcW w:w="551" w:type="pct"/>
            <w:vAlign w:val="center"/>
          </w:tcPr>
          <w:p w:rsidR="001D0E5D" w:rsidRDefault="001D0E5D" w:rsidP="001D0E5D">
            <w:pPr>
              <w:jc w:val="center"/>
              <w:rPr>
                <w:rFonts w:ascii="Arial" w:hAnsi="Arial" w:cs="Arial"/>
                <w:color w:val="000000"/>
                <w:sz w:val="22"/>
                <w:szCs w:val="22"/>
              </w:rPr>
            </w:pPr>
            <w:proofErr w:type="spellStart"/>
            <w:r>
              <w:rPr>
                <w:rFonts w:ascii="Arial" w:hAnsi="Arial" w:cs="Arial"/>
                <w:color w:val="000000"/>
                <w:sz w:val="22"/>
                <w:szCs w:val="22"/>
              </w:rPr>
              <w:t>Pré</w:t>
            </w:r>
            <w:proofErr w:type="spellEnd"/>
            <w:r>
              <w:rPr>
                <w:rFonts w:ascii="Arial" w:hAnsi="Arial" w:cs="Arial"/>
                <w:color w:val="000000"/>
                <w:sz w:val="22"/>
                <w:szCs w:val="22"/>
              </w:rPr>
              <w:t>-Edital</w:t>
            </w:r>
          </w:p>
        </w:tc>
        <w:tc>
          <w:tcPr>
            <w:tcW w:w="616" w:type="pct"/>
            <w:vAlign w:val="center"/>
          </w:tcPr>
          <w:p w:rsidR="001D0E5D" w:rsidRDefault="001D0E5D" w:rsidP="001D0E5D">
            <w:pPr>
              <w:jc w:val="center"/>
              <w:rPr>
                <w:rFonts w:ascii="Arial" w:hAnsi="Arial" w:cs="Arial"/>
                <w:color w:val="000000"/>
                <w:sz w:val="22"/>
                <w:szCs w:val="22"/>
              </w:rPr>
            </w:pPr>
            <w:r>
              <w:rPr>
                <w:rFonts w:ascii="Arial" w:hAnsi="Arial" w:cs="Arial"/>
                <w:color w:val="000000"/>
                <w:sz w:val="22"/>
                <w:szCs w:val="22"/>
              </w:rPr>
              <w:t>Alteração</w:t>
            </w:r>
          </w:p>
        </w:tc>
        <w:tc>
          <w:tcPr>
            <w:tcW w:w="363" w:type="pct"/>
            <w:vAlign w:val="center"/>
          </w:tcPr>
          <w:p w:rsidR="001D0E5D" w:rsidRDefault="001D0E5D" w:rsidP="001D0E5D">
            <w:pPr>
              <w:pStyle w:val="Edital-TabelaTtulo"/>
              <w:rPr>
                <w:rFonts w:cs="Arial"/>
                <w:b w:val="0"/>
                <w:sz w:val="22"/>
                <w:szCs w:val="22"/>
              </w:rPr>
            </w:pPr>
            <w:r>
              <w:rPr>
                <w:rFonts w:cs="Arial"/>
                <w:b w:val="0"/>
                <w:sz w:val="22"/>
                <w:szCs w:val="22"/>
              </w:rPr>
              <w:t>11.3</w:t>
            </w:r>
          </w:p>
        </w:tc>
        <w:tc>
          <w:tcPr>
            <w:tcW w:w="1525" w:type="pct"/>
            <w:vAlign w:val="center"/>
          </w:tcPr>
          <w:p w:rsidR="00E64648" w:rsidRDefault="00E64648" w:rsidP="006D7EF0">
            <w:pPr>
              <w:pStyle w:val="Edital-Corpodetexto"/>
              <w:spacing w:line="240" w:lineRule="auto"/>
              <w:ind w:firstLine="0"/>
            </w:pPr>
            <w:r w:rsidRPr="00E64648">
              <w:t>Qualquer pessoa, natural ou jurídica, poderá impugnar o presente edital, no prazo de 5 (cinco) dias úteis, contados da data de sua publicação.</w:t>
            </w:r>
          </w:p>
          <w:p w:rsidR="00E64648" w:rsidRDefault="00E64648" w:rsidP="006D7EF0">
            <w:pPr>
              <w:pStyle w:val="Edital-Corpodetexto"/>
              <w:spacing w:line="240" w:lineRule="auto"/>
              <w:ind w:firstLine="0"/>
            </w:pPr>
          </w:p>
          <w:p w:rsidR="001D0E5D" w:rsidRDefault="002D0706" w:rsidP="006D7EF0">
            <w:pPr>
              <w:pStyle w:val="Edital-Corpodetexto"/>
              <w:spacing w:line="240" w:lineRule="auto"/>
              <w:ind w:firstLine="0"/>
            </w:pPr>
            <w:r w:rsidRPr="002D0706">
              <w:t xml:space="preserve">A impugnação será dirigida à CEL, que sobre ela se manifestará em até 2 (dois) dias úteis, encaminhando, em seguida, o pleito para decisão da Diretoria Colegiada da ANP. </w:t>
            </w:r>
            <w:r w:rsidR="001D0E5D">
              <w:t>A impugnação deverá ser decidida antes da sessão pública de apresentação de ofertas e terá efeito suspensivo.</w:t>
            </w:r>
            <w:r>
              <w:t xml:space="preserve"> </w:t>
            </w:r>
            <w:r w:rsidRPr="002D0706">
              <w:t>Em caso de acolhimento da impugnação, o edital será republicado.</w:t>
            </w:r>
          </w:p>
        </w:tc>
        <w:tc>
          <w:tcPr>
            <w:tcW w:w="1945" w:type="pct"/>
            <w:vAlign w:val="center"/>
          </w:tcPr>
          <w:p w:rsidR="001D0E5D" w:rsidRDefault="001D0E5D" w:rsidP="008B1682">
            <w:pPr>
              <w:jc w:val="both"/>
              <w:rPr>
                <w:rFonts w:ascii="Arial" w:hAnsi="Arial" w:cs="Arial"/>
                <w:color w:val="000000"/>
                <w:sz w:val="22"/>
                <w:szCs w:val="22"/>
              </w:rPr>
            </w:pPr>
            <w:r>
              <w:rPr>
                <w:rFonts w:ascii="Arial" w:hAnsi="Arial" w:cs="Arial"/>
                <w:color w:val="000000"/>
                <w:sz w:val="22"/>
                <w:szCs w:val="22"/>
              </w:rPr>
              <w:t>A alteração é necessária para que haja efeito suspensivo, garantindo a segurança jurídica aos potenciais participantes do processo.</w:t>
            </w:r>
          </w:p>
          <w:p w:rsidR="00E64648" w:rsidRDefault="00E64648" w:rsidP="008B1682">
            <w:pPr>
              <w:jc w:val="both"/>
              <w:rPr>
                <w:rFonts w:ascii="Arial" w:hAnsi="Arial" w:cs="Arial"/>
                <w:color w:val="000000"/>
                <w:sz w:val="22"/>
                <w:szCs w:val="22"/>
              </w:rPr>
            </w:pPr>
          </w:p>
          <w:p w:rsidR="00E64648" w:rsidRDefault="00E64648" w:rsidP="008B1682">
            <w:pPr>
              <w:jc w:val="both"/>
              <w:rPr>
                <w:rFonts w:ascii="Arial" w:hAnsi="Arial" w:cs="Arial"/>
                <w:color w:val="000000"/>
                <w:sz w:val="22"/>
                <w:szCs w:val="22"/>
              </w:rPr>
            </w:pPr>
            <w:r>
              <w:rPr>
                <w:rFonts w:ascii="Arial" w:hAnsi="Arial" w:cs="Arial"/>
                <w:color w:val="000000"/>
                <w:sz w:val="22"/>
                <w:szCs w:val="22"/>
              </w:rPr>
              <w:t>A exclusão do último parágrafo é necessária porque, em casos de ilegalidade, o edital poderá ser impugnado a qualquer tempo.</w:t>
            </w:r>
          </w:p>
        </w:tc>
      </w:tr>
      <w:tr w:rsidR="006D7EF0" w:rsidRPr="00A13F0A" w:rsidTr="00C8239C">
        <w:trPr>
          <w:trHeight w:val="2268"/>
        </w:trPr>
        <w:tc>
          <w:tcPr>
            <w:tcW w:w="551" w:type="pct"/>
            <w:vAlign w:val="center"/>
          </w:tcPr>
          <w:p w:rsidR="006D7EF0" w:rsidRPr="001B103F" w:rsidRDefault="006D7EF0" w:rsidP="006D7EF0">
            <w:pPr>
              <w:pStyle w:val="Legenda"/>
              <w:spacing w:before="120" w:after="120"/>
              <w:jc w:val="center"/>
              <w:rPr>
                <w:rFonts w:cs="Arial"/>
                <w:color w:val="000000" w:themeColor="text1"/>
                <w:sz w:val="22"/>
                <w:szCs w:val="22"/>
              </w:rPr>
            </w:pPr>
            <w:proofErr w:type="spellStart"/>
            <w:r w:rsidRPr="001B103F">
              <w:rPr>
                <w:rFonts w:cs="Arial"/>
                <w:color w:val="000000" w:themeColor="text1"/>
                <w:sz w:val="22"/>
                <w:szCs w:val="22"/>
              </w:rPr>
              <w:t>Pré</w:t>
            </w:r>
            <w:proofErr w:type="spellEnd"/>
            <w:r w:rsidRPr="001B103F">
              <w:rPr>
                <w:rFonts w:cs="Arial"/>
                <w:color w:val="000000" w:themeColor="text1"/>
                <w:sz w:val="22"/>
                <w:szCs w:val="22"/>
              </w:rPr>
              <w:t>-edital</w:t>
            </w:r>
          </w:p>
        </w:tc>
        <w:tc>
          <w:tcPr>
            <w:tcW w:w="616" w:type="pct"/>
            <w:vAlign w:val="center"/>
          </w:tcPr>
          <w:p w:rsidR="006D7EF0" w:rsidRPr="001B103F" w:rsidRDefault="006D7EF0" w:rsidP="006D7EF0">
            <w:pPr>
              <w:pStyle w:val="Legenda"/>
              <w:spacing w:before="120" w:after="120"/>
              <w:jc w:val="center"/>
              <w:rPr>
                <w:rFonts w:cs="Arial"/>
                <w:color w:val="000000" w:themeColor="text1"/>
                <w:sz w:val="22"/>
                <w:szCs w:val="22"/>
              </w:rPr>
            </w:pPr>
            <w:r w:rsidRPr="001B103F">
              <w:rPr>
                <w:rFonts w:cs="Arial"/>
                <w:color w:val="000000" w:themeColor="text1"/>
                <w:sz w:val="22"/>
                <w:szCs w:val="22"/>
              </w:rPr>
              <w:t>Alteração</w:t>
            </w:r>
          </w:p>
        </w:tc>
        <w:tc>
          <w:tcPr>
            <w:tcW w:w="363" w:type="pct"/>
            <w:vAlign w:val="center"/>
          </w:tcPr>
          <w:p w:rsidR="006D7EF0" w:rsidRPr="001B103F" w:rsidRDefault="006D7EF0" w:rsidP="006D7EF0">
            <w:pPr>
              <w:pStyle w:val="Legenda"/>
              <w:spacing w:before="120" w:after="120"/>
              <w:jc w:val="center"/>
              <w:rPr>
                <w:rFonts w:cs="Arial"/>
                <w:color w:val="000000" w:themeColor="text1"/>
                <w:sz w:val="22"/>
                <w:szCs w:val="22"/>
              </w:rPr>
            </w:pPr>
            <w:r w:rsidRPr="001B103F">
              <w:rPr>
                <w:rFonts w:cs="Arial"/>
                <w:color w:val="000000" w:themeColor="text1"/>
                <w:sz w:val="22"/>
                <w:szCs w:val="22"/>
              </w:rPr>
              <w:t>Anexo XIV</w:t>
            </w:r>
          </w:p>
          <w:p w:rsidR="006D7EF0" w:rsidRPr="001B103F" w:rsidRDefault="006D7EF0" w:rsidP="006D7EF0">
            <w:pPr>
              <w:pStyle w:val="Legenda"/>
              <w:spacing w:before="120" w:after="120"/>
              <w:jc w:val="center"/>
              <w:rPr>
                <w:rFonts w:cs="Arial"/>
                <w:color w:val="000000" w:themeColor="text1"/>
                <w:sz w:val="22"/>
                <w:szCs w:val="22"/>
              </w:rPr>
            </w:pPr>
            <w:r w:rsidRPr="001B103F">
              <w:rPr>
                <w:rFonts w:cs="Arial"/>
                <w:color w:val="000000" w:themeColor="text1"/>
                <w:sz w:val="22"/>
                <w:szCs w:val="22"/>
              </w:rPr>
              <w:t>Tabela 23</w:t>
            </w:r>
          </w:p>
        </w:tc>
        <w:tc>
          <w:tcPr>
            <w:tcW w:w="1525" w:type="pct"/>
            <w:vAlign w:val="center"/>
          </w:tcPr>
          <w:p w:rsidR="006D7EF0" w:rsidRPr="006D7EF0" w:rsidRDefault="006D7EF0" w:rsidP="006D7EF0">
            <w:pPr>
              <w:autoSpaceDE w:val="0"/>
              <w:autoSpaceDN w:val="0"/>
              <w:adjustRightInd w:val="0"/>
              <w:jc w:val="both"/>
              <w:rPr>
                <w:rFonts w:ascii="Arial" w:hAnsi="Arial" w:cs="Arial"/>
                <w:bCs/>
                <w:color w:val="000000"/>
                <w:sz w:val="22"/>
                <w:szCs w:val="22"/>
                <w:lang w:eastAsia="en-US"/>
              </w:rPr>
            </w:pPr>
            <w:r w:rsidRPr="006D7EF0">
              <w:rPr>
                <w:rFonts w:ascii="Arial" w:hAnsi="Arial" w:cs="Arial"/>
                <w:bCs/>
                <w:color w:val="000000"/>
                <w:sz w:val="22"/>
                <w:szCs w:val="22"/>
                <w:lang w:eastAsia="en-US"/>
              </w:rPr>
              <w:t xml:space="preserve">Objetivos Exploratórios Mínimos - Específico para os blocos da Bacia do Recôncavo: </w:t>
            </w:r>
          </w:p>
          <w:p w:rsidR="006D7EF0" w:rsidRPr="006D7EF0" w:rsidRDefault="006D7EF0" w:rsidP="006D7EF0">
            <w:pPr>
              <w:autoSpaceDE w:val="0"/>
              <w:autoSpaceDN w:val="0"/>
              <w:adjustRightInd w:val="0"/>
              <w:jc w:val="both"/>
              <w:rPr>
                <w:rFonts w:ascii="Arial" w:hAnsi="Arial" w:cs="Arial"/>
                <w:bCs/>
                <w:color w:val="000000"/>
                <w:sz w:val="22"/>
                <w:szCs w:val="22"/>
                <w:lang w:eastAsia="en-US"/>
              </w:rPr>
            </w:pPr>
          </w:p>
          <w:p w:rsidR="006D7EF0" w:rsidRPr="006D7EF0" w:rsidRDefault="006D7EF0" w:rsidP="006D7EF0">
            <w:pPr>
              <w:autoSpaceDE w:val="0"/>
              <w:autoSpaceDN w:val="0"/>
              <w:adjustRightInd w:val="0"/>
              <w:jc w:val="both"/>
              <w:rPr>
                <w:rFonts w:ascii="Arial" w:hAnsi="Arial" w:cs="Arial"/>
                <w:bCs/>
                <w:color w:val="000000"/>
                <w:sz w:val="22"/>
                <w:szCs w:val="22"/>
                <w:lang w:eastAsia="en-US"/>
              </w:rPr>
            </w:pPr>
            <w:r w:rsidRPr="006D7EF0">
              <w:rPr>
                <w:rFonts w:ascii="Arial" w:hAnsi="Arial" w:cs="Arial"/>
                <w:bCs/>
                <w:color w:val="000000"/>
                <w:sz w:val="22"/>
                <w:szCs w:val="22"/>
                <w:lang w:eastAsia="en-US"/>
              </w:rPr>
              <w:t>Objetivo Exploratório Mínimo: Formação Marfim</w:t>
            </w:r>
          </w:p>
          <w:p w:rsidR="006D7EF0" w:rsidRPr="006D7EF0" w:rsidRDefault="006D7EF0" w:rsidP="006D7EF0">
            <w:pPr>
              <w:autoSpaceDE w:val="0"/>
              <w:autoSpaceDN w:val="0"/>
              <w:adjustRightInd w:val="0"/>
              <w:jc w:val="both"/>
              <w:rPr>
                <w:rFonts w:ascii="Arial" w:hAnsi="Arial" w:cs="Arial"/>
                <w:bCs/>
                <w:color w:val="000000"/>
                <w:sz w:val="22"/>
                <w:szCs w:val="22"/>
                <w:lang w:eastAsia="en-US"/>
              </w:rPr>
            </w:pPr>
          </w:p>
          <w:p w:rsidR="006D7EF0" w:rsidRPr="006D7EF0" w:rsidRDefault="006D7EF0" w:rsidP="006D7EF0">
            <w:pPr>
              <w:autoSpaceDE w:val="0"/>
              <w:autoSpaceDN w:val="0"/>
              <w:adjustRightInd w:val="0"/>
              <w:jc w:val="both"/>
              <w:rPr>
                <w:rFonts w:ascii="Arial" w:hAnsi="Arial" w:cs="Arial"/>
                <w:bCs/>
                <w:color w:val="000000"/>
                <w:sz w:val="22"/>
                <w:szCs w:val="22"/>
                <w:lang w:eastAsia="en-US"/>
              </w:rPr>
            </w:pPr>
            <w:r w:rsidRPr="006D7EF0">
              <w:rPr>
                <w:rFonts w:ascii="Arial" w:hAnsi="Arial" w:cs="Arial"/>
                <w:bCs/>
                <w:color w:val="000000"/>
                <w:sz w:val="22"/>
                <w:szCs w:val="22"/>
                <w:lang w:eastAsia="en-US"/>
              </w:rPr>
              <w:t xml:space="preserve">Objetivo Estratigráfico Mínimo: Formação </w:t>
            </w:r>
            <w:proofErr w:type="spellStart"/>
            <w:r w:rsidRPr="006D7EF0">
              <w:rPr>
                <w:rFonts w:ascii="Arial" w:hAnsi="Arial" w:cs="Arial"/>
                <w:bCs/>
                <w:color w:val="000000"/>
                <w:sz w:val="22"/>
                <w:szCs w:val="22"/>
                <w:lang w:eastAsia="en-US"/>
              </w:rPr>
              <w:t>Maracangalha</w:t>
            </w:r>
            <w:proofErr w:type="spellEnd"/>
          </w:p>
        </w:tc>
        <w:tc>
          <w:tcPr>
            <w:tcW w:w="1945" w:type="pct"/>
            <w:vAlign w:val="center"/>
          </w:tcPr>
          <w:p w:rsidR="006D7EF0" w:rsidRPr="006D7EF0" w:rsidRDefault="006D7EF0" w:rsidP="008B1682">
            <w:pPr>
              <w:pStyle w:val="Legenda"/>
              <w:spacing w:before="120" w:after="120"/>
              <w:jc w:val="both"/>
              <w:rPr>
                <w:rFonts w:cs="Arial"/>
                <w:color w:val="000000"/>
                <w:sz w:val="22"/>
                <w:szCs w:val="22"/>
                <w:lang w:eastAsia="en-US"/>
              </w:rPr>
            </w:pPr>
            <w:r w:rsidRPr="006D7EF0">
              <w:rPr>
                <w:rFonts w:cs="Arial"/>
                <w:color w:val="000000"/>
                <w:sz w:val="22"/>
                <w:szCs w:val="22"/>
                <w:lang w:eastAsia="en-US"/>
              </w:rPr>
              <w:t xml:space="preserve">A Bacia do Recôncavo é uma bacia madura onde já foi feito um grande esforço exploratório em altos estruturais da seção </w:t>
            </w:r>
            <w:proofErr w:type="spellStart"/>
            <w:r w:rsidRPr="006D7EF0">
              <w:rPr>
                <w:rFonts w:cs="Arial"/>
                <w:color w:val="000000"/>
                <w:sz w:val="22"/>
                <w:szCs w:val="22"/>
                <w:lang w:eastAsia="en-US"/>
              </w:rPr>
              <w:t>Pré-rifte</w:t>
            </w:r>
            <w:proofErr w:type="spellEnd"/>
            <w:r w:rsidRPr="006D7EF0">
              <w:rPr>
                <w:rFonts w:cs="Arial"/>
                <w:color w:val="000000"/>
                <w:sz w:val="22"/>
                <w:szCs w:val="22"/>
                <w:lang w:eastAsia="en-US"/>
              </w:rPr>
              <w:t xml:space="preserve"> visando principalmente a Formação Sergi, com a descoberta dos maiores campos da Bacia nas décadas de 60 e 70. </w:t>
            </w:r>
          </w:p>
          <w:p w:rsidR="006D7EF0" w:rsidRPr="006D7EF0" w:rsidRDefault="006D7EF0" w:rsidP="008B1682">
            <w:pPr>
              <w:pStyle w:val="Legenda"/>
              <w:spacing w:before="120" w:after="120"/>
              <w:jc w:val="both"/>
              <w:rPr>
                <w:rFonts w:cs="Arial"/>
                <w:color w:val="000000"/>
                <w:sz w:val="22"/>
                <w:szCs w:val="22"/>
                <w:lang w:eastAsia="en-US"/>
              </w:rPr>
            </w:pPr>
            <w:r w:rsidRPr="006D7EF0">
              <w:rPr>
                <w:rFonts w:cs="Arial"/>
                <w:color w:val="000000"/>
                <w:sz w:val="22"/>
                <w:szCs w:val="22"/>
                <w:lang w:eastAsia="en-US"/>
              </w:rPr>
              <w:t xml:space="preserve">Recentemente, com o avanço tecnológico, principalmente da aquisição e processamento sísmico, é possível visualizar e identificar melhor os </w:t>
            </w:r>
            <w:r w:rsidRPr="006D7EF0">
              <w:rPr>
                <w:rFonts w:cs="Arial"/>
                <w:color w:val="000000"/>
                <w:sz w:val="22"/>
                <w:szCs w:val="22"/>
                <w:lang w:eastAsia="en-US"/>
              </w:rPr>
              <w:lastRenderedPageBreak/>
              <w:t xml:space="preserve">alvos da seção </w:t>
            </w:r>
            <w:proofErr w:type="spellStart"/>
            <w:r w:rsidRPr="006D7EF0">
              <w:rPr>
                <w:rFonts w:cs="Arial"/>
                <w:color w:val="000000"/>
                <w:sz w:val="22"/>
                <w:szCs w:val="22"/>
                <w:lang w:eastAsia="en-US"/>
              </w:rPr>
              <w:t>Rifte</w:t>
            </w:r>
            <w:proofErr w:type="spellEnd"/>
            <w:r w:rsidRPr="006D7EF0">
              <w:rPr>
                <w:rFonts w:cs="Arial"/>
                <w:color w:val="000000"/>
                <w:sz w:val="22"/>
                <w:szCs w:val="22"/>
                <w:lang w:eastAsia="en-US"/>
              </w:rPr>
              <w:t xml:space="preserve"> (p.ex. formações Marfim e </w:t>
            </w:r>
            <w:proofErr w:type="spellStart"/>
            <w:r w:rsidRPr="006D7EF0">
              <w:rPr>
                <w:rFonts w:cs="Arial"/>
                <w:color w:val="000000"/>
                <w:sz w:val="22"/>
                <w:szCs w:val="22"/>
                <w:lang w:eastAsia="en-US"/>
              </w:rPr>
              <w:t>Maracangalha</w:t>
            </w:r>
            <w:proofErr w:type="spellEnd"/>
            <w:r w:rsidRPr="006D7EF0">
              <w:rPr>
                <w:rFonts w:cs="Arial"/>
                <w:color w:val="000000"/>
                <w:sz w:val="22"/>
                <w:szCs w:val="22"/>
                <w:lang w:eastAsia="en-US"/>
              </w:rPr>
              <w:t>), assim sendo exemplificado pelas recentes descobertas realizadas nesta seção na Borda Nordeste da Bacia.</w:t>
            </w:r>
          </w:p>
          <w:p w:rsidR="006D7EF0" w:rsidRPr="006D7EF0" w:rsidRDefault="006D7EF0" w:rsidP="008B1682">
            <w:pPr>
              <w:jc w:val="both"/>
              <w:rPr>
                <w:rFonts w:ascii="Arial" w:hAnsi="Arial" w:cs="Arial"/>
                <w:sz w:val="22"/>
                <w:szCs w:val="22"/>
                <w:lang w:eastAsia="en-US"/>
              </w:rPr>
            </w:pPr>
            <w:r>
              <w:rPr>
                <w:rFonts w:ascii="Arial" w:hAnsi="Arial" w:cs="Arial"/>
                <w:sz w:val="22"/>
                <w:szCs w:val="22"/>
                <w:lang w:eastAsia="en-US"/>
              </w:rPr>
              <w:t xml:space="preserve">Dessa forma, propomos a substituição da Formação Sergi pela Formação Marfim e da Formação Candeias pela Formação </w:t>
            </w:r>
            <w:proofErr w:type="spellStart"/>
            <w:r>
              <w:rPr>
                <w:rFonts w:ascii="Arial" w:hAnsi="Arial" w:cs="Arial"/>
                <w:sz w:val="22"/>
                <w:szCs w:val="22"/>
                <w:lang w:eastAsia="en-US"/>
              </w:rPr>
              <w:t>Maracangalha</w:t>
            </w:r>
            <w:proofErr w:type="spellEnd"/>
            <w:r>
              <w:rPr>
                <w:rFonts w:ascii="Arial" w:hAnsi="Arial" w:cs="Arial"/>
                <w:sz w:val="22"/>
                <w:szCs w:val="22"/>
                <w:lang w:eastAsia="en-US"/>
              </w:rPr>
              <w:t xml:space="preserve"> como Objetivos Estratigráficos Mínimos.</w:t>
            </w:r>
          </w:p>
        </w:tc>
      </w:tr>
      <w:tr w:rsidR="006D7EF0" w:rsidRPr="00A13F0A" w:rsidTr="00C8239C">
        <w:trPr>
          <w:trHeight w:val="2268"/>
        </w:trPr>
        <w:tc>
          <w:tcPr>
            <w:tcW w:w="551" w:type="pct"/>
            <w:vAlign w:val="center"/>
          </w:tcPr>
          <w:p w:rsidR="006D7EF0" w:rsidRPr="001B103F" w:rsidRDefault="006D7EF0" w:rsidP="006D7EF0">
            <w:pPr>
              <w:pStyle w:val="Legenda"/>
              <w:spacing w:before="120" w:after="120"/>
              <w:jc w:val="center"/>
              <w:rPr>
                <w:rFonts w:cs="Arial"/>
                <w:color w:val="000000" w:themeColor="text1"/>
                <w:sz w:val="22"/>
                <w:szCs w:val="22"/>
              </w:rPr>
            </w:pPr>
            <w:proofErr w:type="spellStart"/>
            <w:r w:rsidRPr="001B103F">
              <w:rPr>
                <w:rFonts w:cs="Arial"/>
                <w:color w:val="000000" w:themeColor="text1"/>
                <w:sz w:val="22"/>
                <w:szCs w:val="22"/>
              </w:rPr>
              <w:lastRenderedPageBreak/>
              <w:t>Pré</w:t>
            </w:r>
            <w:proofErr w:type="spellEnd"/>
            <w:r w:rsidRPr="001B103F">
              <w:rPr>
                <w:rFonts w:cs="Arial"/>
                <w:color w:val="000000" w:themeColor="text1"/>
                <w:sz w:val="22"/>
                <w:szCs w:val="22"/>
              </w:rPr>
              <w:t>-edital</w:t>
            </w:r>
          </w:p>
        </w:tc>
        <w:tc>
          <w:tcPr>
            <w:tcW w:w="616" w:type="pct"/>
            <w:vAlign w:val="center"/>
          </w:tcPr>
          <w:p w:rsidR="006D7EF0" w:rsidRPr="001B103F" w:rsidRDefault="006D7EF0" w:rsidP="006D7EF0">
            <w:pPr>
              <w:pStyle w:val="Legenda"/>
              <w:spacing w:before="120" w:after="120"/>
              <w:jc w:val="center"/>
              <w:rPr>
                <w:rFonts w:cs="Arial"/>
                <w:color w:val="000000" w:themeColor="text1"/>
                <w:sz w:val="22"/>
                <w:szCs w:val="22"/>
              </w:rPr>
            </w:pPr>
            <w:r w:rsidRPr="001B103F">
              <w:rPr>
                <w:rFonts w:cs="Arial"/>
                <w:color w:val="000000" w:themeColor="text1"/>
                <w:sz w:val="22"/>
                <w:szCs w:val="22"/>
              </w:rPr>
              <w:t>Alteração</w:t>
            </w:r>
          </w:p>
        </w:tc>
        <w:tc>
          <w:tcPr>
            <w:tcW w:w="363" w:type="pct"/>
            <w:vAlign w:val="center"/>
          </w:tcPr>
          <w:p w:rsidR="006D7EF0" w:rsidRPr="001B103F" w:rsidRDefault="006D7EF0" w:rsidP="006D7EF0">
            <w:pPr>
              <w:pStyle w:val="Legenda"/>
              <w:spacing w:before="120" w:after="120"/>
              <w:jc w:val="center"/>
              <w:rPr>
                <w:rFonts w:cs="Arial"/>
                <w:color w:val="000000" w:themeColor="text1"/>
                <w:sz w:val="22"/>
                <w:szCs w:val="22"/>
              </w:rPr>
            </w:pPr>
            <w:r w:rsidRPr="001B103F">
              <w:rPr>
                <w:rFonts w:cs="Arial"/>
                <w:color w:val="000000" w:themeColor="text1"/>
                <w:sz w:val="22"/>
                <w:szCs w:val="22"/>
              </w:rPr>
              <w:t>Anexo XIV</w:t>
            </w:r>
          </w:p>
          <w:p w:rsidR="006D7EF0" w:rsidRPr="001B103F" w:rsidRDefault="006D7EF0" w:rsidP="006D7EF0">
            <w:pPr>
              <w:pStyle w:val="Legenda"/>
              <w:spacing w:before="120" w:after="120"/>
              <w:jc w:val="center"/>
              <w:rPr>
                <w:rFonts w:cs="Arial"/>
                <w:color w:val="000000" w:themeColor="text1"/>
                <w:sz w:val="22"/>
                <w:szCs w:val="22"/>
              </w:rPr>
            </w:pPr>
            <w:r w:rsidRPr="001B103F">
              <w:rPr>
                <w:rFonts w:cs="Arial"/>
                <w:color w:val="000000" w:themeColor="text1"/>
                <w:sz w:val="22"/>
                <w:szCs w:val="22"/>
              </w:rPr>
              <w:t>Tabela 23</w:t>
            </w:r>
          </w:p>
        </w:tc>
        <w:tc>
          <w:tcPr>
            <w:tcW w:w="1525" w:type="pct"/>
            <w:vAlign w:val="center"/>
          </w:tcPr>
          <w:p w:rsidR="006D7EF0" w:rsidRPr="006D7EF0" w:rsidRDefault="006D7EF0" w:rsidP="006D7EF0">
            <w:pPr>
              <w:autoSpaceDE w:val="0"/>
              <w:autoSpaceDN w:val="0"/>
              <w:adjustRightInd w:val="0"/>
              <w:jc w:val="both"/>
              <w:rPr>
                <w:rFonts w:ascii="Arial" w:hAnsi="Arial" w:cs="Arial"/>
                <w:bCs/>
                <w:color w:val="000000"/>
                <w:sz w:val="22"/>
                <w:szCs w:val="22"/>
                <w:lang w:eastAsia="en-US"/>
              </w:rPr>
            </w:pPr>
            <w:r w:rsidRPr="006D7EF0">
              <w:rPr>
                <w:rFonts w:ascii="Arial" w:hAnsi="Arial" w:cs="Arial"/>
                <w:bCs/>
                <w:color w:val="000000"/>
                <w:sz w:val="22"/>
                <w:szCs w:val="22"/>
                <w:lang w:eastAsia="en-US"/>
              </w:rPr>
              <w:t>Objetivos Exploratórios Mínimos - Específico para os blocos da Bacia do Sergipe-Alagoas Setores de Terra:</w:t>
            </w:r>
          </w:p>
          <w:p w:rsidR="006D7EF0" w:rsidRPr="006D7EF0" w:rsidRDefault="006D7EF0" w:rsidP="006D7EF0">
            <w:pPr>
              <w:autoSpaceDE w:val="0"/>
              <w:autoSpaceDN w:val="0"/>
              <w:adjustRightInd w:val="0"/>
              <w:jc w:val="both"/>
              <w:rPr>
                <w:rFonts w:ascii="Arial" w:hAnsi="Arial" w:cs="Arial"/>
                <w:bCs/>
                <w:color w:val="000000"/>
                <w:sz w:val="22"/>
                <w:szCs w:val="22"/>
                <w:lang w:eastAsia="en-US"/>
              </w:rPr>
            </w:pPr>
          </w:p>
          <w:p w:rsidR="006D7EF0" w:rsidRPr="001B103F" w:rsidRDefault="006D7EF0" w:rsidP="006D7EF0">
            <w:pPr>
              <w:autoSpaceDE w:val="0"/>
              <w:autoSpaceDN w:val="0"/>
              <w:adjustRightInd w:val="0"/>
              <w:jc w:val="both"/>
              <w:rPr>
                <w:rFonts w:ascii="Arial" w:hAnsi="Arial" w:cs="Arial"/>
                <w:bCs/>
                <w:color w:val="000000"/>
                <w:sz w:val="22"/>
                <w:szCs w:val="22"/>
                <w:lang w:eastAsia="en-US"/>
              </w:rPr>
            </w:pPr>
            <w:r w:rsidRPr="006D7EF0">
              <w:rPr>
                <w:rFonts w:ascii="Arial" w:hAnsi="Arial" w:cs="Arial"/>
                <w:bCs/>
                <w:color w:val="000000"/>
                <w:sz w:val="22"/>
                <w:szCs w:val="22"/>
                <w:lang w:eastAsia="en-US"/>
              </w:rPr>
              <w:t xml:space="preserve">Objetivo Exploratório Mínimo: Formação </w:t>
            </w:r>
            <w:proofErr w:type="spellStart"/>
            <w:r w:rsidRPr="006D7EF0">
              <w:rPr>
                <w:rFonts w:ascii="Arial" w:hAnsi="Arial" w:cs="Arial"/>
                <w:bCs/>
                <w:color w:val="000000"/>
                <w:sz w:val="22"/>
                <w:szCs w:val="22"/>
                <w:lang w:eastAsia="en-US"/>
              </w:rPr>
              <w:t>Muribeca</w:t>
            </w:r>
            <w:proofErr w:type="spellEnd"/>
            <w:r w:rsidRPr="006D7EF0">
              <w:rPr>
                <w:rFonts w:ascii="Arial" w:hAnsi="Arial" w:cs="Arial"/>
                <w:bCs/>
                <w:color w:val="000000"/>
                <w:sz w:val="22"/>
                <w:szCs w:val="22"/>
                <w:lang w:eastAsia="en-US"/>
              </w:rPr>
              <w:t xml:space="preserve"> (ou </w:t>
            </w:r>
            <w:proofErr w:type="spellStart"/>
            <w:r w:rsidRPr="006D7EF0">
              <w:rPr>
                <w:rFonts w:ascii="Arial" w:hAnsi="Arial" w:cs="Arial"/>
                <w:bCs/>
                <w:color w:val="000000"/>
                <w:sz w:val="22"/>
                <w:szCs w:val="22"/>
                <w:lang w:eastAsia="en-US"/>
              </w:rPr>
              <w:t>Aptiano</w:t>
            </w:r>
            <w:proofErr w:type="spellEnd"/>
            <w:r w:rsidRPr="006D7EF0">
              <w:rPr>
                <w:rFonts w:ascii="Arial" w:hAnsi="Arial" w:cs="Arial"/>
                <w:bCs/>
                <w:color w:val="000000"/>
                <w:sz w:val="22"/>
                <w:szCs w:val="22"/>
                <w:lang w:eastAsia="en-US"/>
              </w:rPr>
              <w:t>)</w:t>
            </w:r>
          </w:p>
        </w:tc>
        <w:tc>
          <w:tcPr>
            <w:tcW w:w="1945" w:type="pct"/>
            <w:vAlign w:val="center"/>
          </w:tcPr>
          <w:p w:rsidR="006D7EF0" w:rsidRPr="001B103F" w:rsidRDefault="006D7EF0" w:rsidP="008B1682">
            <w:pPr>
              <w:pStyle w:val="Legenda"/>
              <w:spacing w:before="120" w:after="120"/>
              <w:jc w:val="both"/>
              <w:rPr>
                <w:rFonts w:cs="Arial"/>
                <w:color w:val="000000"/>
                <w:sz w:val="22"/>
                <w:szCs w:val="22"/>
                <w:lang w:eastAsia="en-US"/>
              </w:rPr>
            </w:pPr>
            <w:r w:rsidRPr="006D7EF0">
              <w:rPr>
                <w:rFonts w:cs="Arial"/>
                <w:color w:val="000000"/>
                <w:sz w:val="22"/>
                <w:szCs w:val="22"/>
                <w:lang w:eastAsia="en-US"/>
              </w:rPr>
              <w:t>A ANP estabeleceu a Fm. Serraria como objetivo exploratório, mas em várias áreas não temos objetivos para Serraria, pela não ocorrência ou alta profundidade da Formação Serraria.</w:t>
            </w:r>
          </w:p>
        </w:tc>
      </w:tr>
      <w:tr w:rsidR="006D7EF0" w:rsidRPr="00A13F0A" w:rsidTr="00C8239C">
        <w:trPr>
          <w:trHeight w:val="2268"/>
        </w:trPr>
        <w:tc>
          <w:tcPr>
            <w:tcW w:w="551" w:type="pct"/>
            <w:vAlign w:val="center"/>
          </w:tcPr>
          <w:p w:rsidR="006D7EF0" w:rsidRPr="001B103F" w:rsidRDefault="006D7EF0" w:rsidP="006D7EF0">
            <w:pPr>
              <w:pStyle w:val="Legenda"/>
              <w:spacing w:before="120" w:after="120"/>
              <w:jc w:val="center"/>
              <w:rPr>
                <w:rFonts w:cs="Arial"/>
                <w:color w:val="000000" w:themeColor="text1"/>
                <w:sz w:val="22"/>
                <w:szCs w:val="22"/>
              </w:rPr>
            </w:pPr>
            <w:proofErr w:type="spellStart"/>
            <w:r w:rsidRPr="001B103F">
              <w:rPr>
                <w:rFonts w:cs="Arial"/>
                <w:color w:val="000000" w:themeColor="text1"/>
                <w:sz w:val="22"/>
                <w:szCs w:val="22"/>
              </w:rPr>
              <w:t>Pré</w:t>
            </w:r>
            <w:proofErr w:type="spellEnd"/>
            <w:r w:rsidRPr="001B103F">
              <w:rPr>
                <w:rFonts w:cs="Arial"/>
                <w:color w:val="000000" w:themeColor="text1"/>
                <w:sz w:val="22"/>
                <w:szCs w:val="22"/>
              </w:rPr>
              <w:t>-edital</w:t>
            </w:r>
          </w:p>
        </w:tc>
        <w:tc>
          <w:tcPr>
            <w:tcW w:w="616" w:type="pct"/>
            <w:vAlign w:val="center"/>
          </w:tcPr>
          <w:p w:rsidR="006D7EF0" w:rsidRPr="001B103F" w:rsidRDefault="006D7EF0" w:rsidP="006D7EF0">
            <w:pPr>
              <w:pStyle w:val="Legenda"/>
              <w:spacing w:before="120" w:after="120"/>
              <w:jc w:val="center"/>
              <w:rPr>
                <w:rFonts w:cs="Arial"/>
                <w:color w:val="000000" w:themeColor="text1"/>
                <w:sz w:val="22"/>
                <w:szCs w:val="22"/>
              </w:rPr>
            </w:pPr>
            <w:r w:rsidRPr="001B103F">
              <w:rPr>
                <w:rFonts w:cs="Arial"/>
                <w:color w:val="000000" w:themeColor="text1"/>
                <w:sz w:val="22"/>
                <w:szCs w:val="22"/>
              </w:rPr>
              <w:t>Alteração</w:t>
            </w:r>
          </w:p>
        </w:tc>
        <w:tc>
          <w:tcPr>
            <w:tcW w:w="363" w:type="pct"/>
            <w:vAlign w:val="center"/>
          </w:tcPr>
          <w:p w:rsidR="006D7EF0" w:rsidRPr="001B103F" w:rsidRDefault="006D7EF0" w:rsidP="006D7EF0">
            <w:pPr>
              <w:pStyle w:val="Legenda"/>
              <w:spacing w:before="120" w:after="120"/>
              <w:jc w:val="center"/>
              <w:rPr>
                <w:rFonts w:cs="Arial"/>
                <w:color w:val="000000" w:themeColor="text1"/>
                <w:sz w:val="22"/>
                <w:szCs w:val="22"/>
              </w:rPr>
            </w:pPr>
            <w:r w:rsidRPr="001B103F">
              <w:rPr>
                <w:rFonts w:cs="Arial"/>
                <w:color w:val="000000" w:themeColor="text1"/>
                <w:sz w:val="22"/>
                <w:szCs w:val="22"/>
              </w:rPr>
              <w:t>Anexo XIV</w:t>
            </w:r>
          </w:p>
          <w:p w:rsidR="006D7EF0" w:rsidRPr="001B103F" w:rsidRDefault="006D7EF0" w:rsidP="006D7EF0">
            <w:pPr>
              <w:pStyle w:val="Legenda"/>
              <w:spacing w:before="120" w:after="120"/>
              <w:jc w:val="center"/>
              <w:rPr>
                <w:rFonts w:cs="Arial"/>
                <w:color w:val="000000" w:themeColor="text1"/>
                <w:sz w:val="22"/>
                <w:szCs w:val="22"/>
              </w:rPr>
            </w:pPr>
            <w:r w:rsidRPr="001B103F">
              <w:rPr>
                <w:rFonts w:cs="Arial"/>
                <w:color w:val="000000" w:themeColor="text1"/>
                <w:sz w:val="22"/>
                <w:szCs w:val="22"/>
              </w:rPr>
              <w:t>Tabela 23</w:t>
            </w:r>
          </w:p>
        </w:tc>
        <w:tc>
          <w:tcPr>
            <w:tcW w:w="1525" w:type="pct"/>
            <w:vAlign w:val="center"/>
          </w:tcPr>
          <w:p w:rsidR="006D7EF0" w:rsidRPr="001B103F" w:rsidRDefault="006D7EF0" w:rsidP="006D7EF0">
            <w:pPr>
              <w:autoSpaceDE w:val="0"/>
              <w:autoSpaceDN w:val="0"/>
              <w:adjustRightInd w:val="0"/>
              <w:jc w:val="both"/>
              <w:rPr>
                <w:rFonts w:ascii="Arial" w:hAnsi="Arial" w:cs="Arial"/>
                <w:bCs/>
                <w:color w:val="000000"/>
                <w:sz w:val="22"/>
                <w:szCs w:val="22"/>
                <w:lang w:eastAsia="en-US"/>
              </w:rPr>
            </w:pPr>
          </w:p>
          <w:p w:rsidR="006D7EF0" w:rsidRPr="001B103F" w:rsidRDefault="006D7EF0" w:rsidP="006D7EF0">
            <w:pPr>
              <w:autoSpaceDE w:val="0"/>
              <w:autoSpaceDN w:val="0"/>
              <w:adjustRightInd w:val="0"/>
              <w:jc w:val="both"/>
              <w:rPr>
                <w:rFonts w:ascii="Arial" w:hAnsi="Arial" w:cs="Arial"/>
                <w:bCs/>
                <w:color w:val="000000"/>
                <w:sz w:val="22"/>
                <w:szCs w:val="22"/>
                <w:lang w:eastAsia="en-US"/>
              </w:rPr>
            </w:pPr>
            <w:r w:rsidRPr="001B103F">
              <w:rPr>
                <w:rFonts w:ascii="Arial" w:hAnsi="Arial" w:cs="Arial"/>
                <w:bCs/>
                <w:color w:val="000000"/>
                <w:sz w:val="22"/>
                <w:szCs w:val="22"/>
                <w:lang w:eastAsia="en-US"/>
              </w:rPr>
              <w:t>Objetivos Exploratórios Mínimos - Específico para os blocos da Bacia de Pelotas:</w:t>
            </w:r>
          </w:p>
          <w:p w:rsidR="006D7EF0" w:rsidRPr="001B103F" w:rsidRDefault="006D7EF0" w:rsidP="006D7EF0">
            <w:pPr>
              <w:pStyle w:val="Legenda"/>
              <w:spacing w:before="120" w:after="120"/>
              <w:jc w:val="both"/>
              <w:rPr>
                <w:rFonts w:cs="Arial"/>
                <w:bCs/>
                <w:color w:val="000000"/>
                <w:sz w:val="22"/>
                <w:szCs w:val="22"/>
                <w:lang w:eastAsia="en-US"/>
              </w:rPr>
            </w:pPr>
            <w:r w:rsidRPr="001B103F">
              <w:rPr>
                <w:rFonts w:cs="Arial"/>
                <w:bCs/>
                <w:color w:val="000000"/>
                <w:sz w:val="22"/>
                <w:szCs w:val="22"/>
                <w:lang w:eastAsia="en-US"/>
              </w:rPr>
              <w:t>Objetivo Exploratório Mínimo: Formação Imbé (</w:t>
            </w:r>
            <w:proofErr w:type="gramStart"/>
            <w:r w:rsidRPr="001B103F">
              <w:rPr>
                <w:rFonts w:cs="Arial"/>
                <w:bCs/>
                <w:color w:val="000000"/>
                <w:sz w:val="22"/>
                <w:szCs w:val="22"/>
                <w:lang w:eastAsia="en-US"/>
              </w:rPr>
              <w:t>ou Eoceno</w:t>
            </w:r>
            <w:proofErr w:type="gramEnd"/>
            <w:r w:rsidRPr="001B103F">
              <w:rPr>
                <w:rFonts w:cs="Arial"/>
                <w:bCs/>
                <w:color w:val="000000"/>
                <w:sz w:val="22"/>
                <w:szCs w:val="22"/>
                <w:lang w:eastAsia="en-US"/>
              </w:rPr>
              <w:t>).</w:t>
            </w:r>
          </w:p>
          <w:p w:rsidR="006D7EF0" w:rsidRPr="001B103F" w:rsidRDefault="006D7EF0" w:rsidP="006D7EF0">
            <w:pPr>
              <w:jc w:val="both"/>
              <w:rPr>
                <w:sz w:val="22"/>
                <w:szCs w:val="22"/>
                <w:lang w:eastAsia="en-US"/>
              </w:rPr>
            </w:pPr>
          </w:p>
        </w:tc>
        <w:tc>
          <w:tcPr>
            <w:tcW w:w="1945" w:type="pct"/>
            <w:vAlign w:val="center"/>
          </w:tcPr>
          <w:p w:rsidR="006D7EF0" w:rsidRPr="001B103F" w:rsidRDefault="006D7EF0" w:rsidP="008B1682">
            <w:pPr>
              <w:pStyle w:val="Legenda"/>
              <w:spacing w:before="120" w:after="120"/>
              <w:jc w:val="both"/>
              <w:rPr>
                <w:rFonts w:cs="Arial"/>
                <w:color w:val="000000" w:themeColor="text1"/>
                <w:sz w:val="22"/>
                <w:szCs w:val="22"/>
              </w:rPr>
            </w:pPr>
            <w:r w:rsidRPr="001B103F">
              <w:rPr>
                <w:rFonts w:cs="Arial"/>
                <w:color w:val="000000"/>
                <w:sz w:val="22"/>
                <w:szCs w:val="22"/>
                <w:lang w:eastAsia="en-US"/>
              </w:rPr>
              <w:t xml:space="preserve">A ANP estabeleceu a Fm. Porto Belo como objetivo exploratório, mas nas áreas ofertadas essa </w:t>
            </w:r>
            <w:r w:rsidR="00683436">
              <w:rPr>
                <w:rFonts w:cs="Arial"/>
                <w:color w:val="000000"/>
                <w:sz w:val="22"/>
                <w:szCs w:val="22"/>
                <w:lang w:eastAsia="en-US"/>
              </w:rPr>
              <w:t>formação</w:t>
            </w:r>
            <w:r w:rsidRPr="001B103F">
              <w:rPr>
                <w:rFonts w:cs="Arial"/>
                <w:color w:val="000000"/>
                <w:sz w:val="22"/>
                <w:szCs w:val="22"/>
                <w:lang w:eastAsia="en-US"/>
              </w:rPr>
              <w:t xml:space="preserve"> </w:t>
            </w:r>
            <w:r w:rsidR="00683436">
              <w:rPr>
                <w:rFonts w:cs="Arial"/>
                <w:color w:val="000000"/>
                <w:sz w:val="22"/>
                <w:szCs w:val="22"/>
                <w:lang w:eastAsia="en-US"/>
              </w:rPr>
              <w:t>e</w:t>
            </w:r>
            <w:r w:rsidRPr="001B103F">
              <w:rPr>
                <w:rFonts w:cs="Arial"/>
                <w:color w:val="000000"/>
                <w:sz w:val="22"/>
                <w:szCs w:val="22"/>
                <w:lang w:eastAsia="en-US"/>
              </w:rPr>
              <w:t>ncontra-se em alta profundidade.</w:t>
            </w:r>
          </w:p>
        </w:tc>
      </w:tr>
      <w:tr w:rsidR="006D7EF0" w:rsidRPr="00C8239C" w:rsidTr="00C8239C">
        <w:trPr>
          <w:trHeight w:val="2268"/>
        </w:trPr>
        <w:tc>
          <w:tcPr>
            <w:tcW w:w="551" w:type="pct"/>
            <w:vAlign w:val="center"/>
          </w:tcPr>
          <w:p w:rsidR="006D7EF0" w:rsidRPr="001B103F" w:rsidRDefault="006D7EF0" w:rsidP="006D7EF0">
            <w:pPr>
              <w:pStyle w:val="Legenda"/>
              <w:spacing w:before="120" w:after="120"/>
              <w:jc w:val="center"/>
              <w:rPr>
                <w:rFonts w:cs="Arial"/>
                <w:color w:val="000000" w:themeColor="text1"/>
                <w:sz w:val="22"/>
                <w:szCs w:val="22"/>
              </w:rPr>
            </w:pPr>
            <w:proofErr w:type="spellStart"/>
            <w:r w:rsidRPr="001B103F">
              <w:rPr>
                <w:rFonts w:cs="Arial"/>
                <w:color w:val="000000" w:themeColor="text1"/>
                <w:sz w:val="22"/>
                <w:szCs w:val="22"/>
              </w:rPr>
              <w:lastRenderedPageBreak/>
              <w:t>Pré</w:t>
            </w:r>
            <w:proofErr w:type="spellEnd"/>
            <w:r w:rsidRPr="001B103F">
              <w:rPr>
                <w:rFonts w:cs="Arial"/>
                <w:color w:val="000000" w:themeColor="text1"/>
                <w:sz w:val="22"/>
                <w:szCs w:val="22"/>
              </w:rPr>
              <w:t>-edital</w:t>
            </w:r>
          </w:p>
        </w:tc>
        <w:tc>
          <w:tcPr>
            <w:tcW w:w="616" w:type="pct"/>
            <w:vAlign w:val="center"/>
          </w:tcPr>
          <w:p w:rsidR="006D7EF0" w:rsidRPr="001B103F" w:rsidRDefault="006D7EF0" w:rsidP="006D7EF0">
            <w:pPr>
              <w:pStyle w:val="Legenda"/>
              <w:spacing w:before="120" w:after="120"/>
              <w:jc w:val="center"/>
              <w:rPr>
                <w:rFonts w:cs="Arial"/>
                <w:color w:val="000000" w:themeColor="text1"/>
                <w:sz w:val="22"/>
                <w:szCs w:val="22"/>
              </w:rPr>
            </w:pPr>
            <w:r w:rsidRPr="001B103F">
              <w:rPr>
                <w:rFonts w:cs="Arial"/>
                <w:color w:val="000000" w:themeColor="text1"/>
                <w:sz w:val="22"/>
                <w:szCs w:val="22"/>
              </w:rPr>
              <w:t>Alteração</w:t>
            </w:r>
          </w:p>
        </w:tc>
        <w:tc>
          <w:tcPr>
            <w:tcW w:w="363" w:type="pct"/>
            <w:vAlign w:val="center"/>
          </w:tcPr>
          <w:p w:rsidR="006D7EF0" w:rsidRPr="001B103F" w:rsidRDefault="006D7EF0" w:rsidP="006D7EF0">
            <w:pPr>
              <w:pStyle w:val="Legenda"/>
              <w:spacing w:before="120" w:after="120"/>
              <w:jc w:val="center"/>
              <w:rPr>
                <w:rFonts w:cs="Arial"/>
                <w:color w:val="000000" w:themeColor="text1"/>
                <w:sz w:val="22"/>
                <w:szCs w:val="22"/>
              </w:rPr>
            </w:pPr>
            <w:r w:rsidRPr="001B103F">
              <w:rPr>
                <w:rFonts w:cs="Arial"/>
                <w:color w:val="000000" w:themeColor="text1"/>
                <w:sz w:val="22"/>
                <w:szCs w:val="22"/>
              </w:rPr>
              <w:t>Anexo XIV</w:t>
            </w:r>
          </w:p>
          <w:p w:rsidR="006D7EF0" w:rsidRPr="001B103F" w:rsidRDefault="006D7EF0" w:rsidP="006D7EF0">
            <w:pPr>
              <w:pStyle w:val="Legenda"/>
              <w:spacing w:before="120" w:after="120"/>
              <w:jc w:val="center"/>
              <w:rPr>
                <w:rFonts w:cs="Arial"/>
                <w:color w:val="000000" w:themeColor="text1"/>
                <w:sz w:val="22"/>
                <w:szCs w:val="22"/>
              </w:rPr>
            </w:pPr>
            <w:r w:rsidRPr="001B103F">
              <w:rPr>
                <w:rFonts w:cs="Arial"/>
                <w:color w:val="000000" w:themeColor="text1"/>
                <w:sz w:val="22"/>
                <w:szCs w:val="22"/>
              </w:rPr>
              <w:t>Tabela 23</w:t>
            </w:r>
          </w:p>
        </w:tc>
        <w:tc>
          <w:tcPr>
            <w:tcW w:w="1525" w:type="pct"/>
            <w:vAlign w:val="center"/>
          </w:tcPr>
          <w:p w:rsidR="006D7EF0" w:rsidRPr="001B103F" w:rsidRDefault="006D7EF0" w:rsidP="006D7EF0">
            <w:pPr>
              <w:pStyle w:val="Legenda"/>
              <w:spacing w:before="120" w:after="120"/>
              <w:jc w:val="both"/>
              <w:rPr>
                <w:rFonts w:cs="Arial"/>
                <w:color w:val="000000" w:themeColor="text1"/>
                <w:sz w:val="22"/>
                <w:szCs w:val="22"/>
              </w:rPr>
            </w:pPr>
            <w:r w:rsidRPr="001B103F">
              <w:rPr>
                <w:rFonts w:cs="Arial"/>
                <w:color w:val="000000" w:themeColor="text1"/>
                <w:sz w:val="22"/>
                <w:szCs w:val="22"/>
              </w:rPr>
              <w:t>Sísmica 2D (UT/km): 10,040</w:t>
            </w:r>
          </w:p>
          <w:p w:rsidR="006D7EF0" w:rsidRPr="001B103F" w:rsidRDefault="006D7EF0" w:rsidP="006D7EF0">
            <w:pPr>
              <w:jc w:val="both"/>
              <w:rPr>
                <w:rFonts w:ascii="Arial" w:hAnsi="Arial" w:cs="Arial"/>
                <w:sz w:val="22"/>
                <w:szCs w:val="22"/>
              </w:rPr>
            </w:pPr>
            <w:r w:rsidRPr="001B103F">
              <w:rPr>
                <w:rFonts w:ascii="Arial" w:hAnsi="Arial" w:cs="Arial"/>
                <w:sz w:val="22"/>
                <w:szCs w:val="22"/>
              </w:rPr>
              <w:t>Sísmica 3D (UT/km2): 28,889</w:t>
            </w:r>
          </w:p>
        </w:tc>
        <w:tc>
          <w:tcPr>
            <w:tcW w:w="1945" w:type="pct"/>
            <w:vAlign w:val="center"/>
          </w:tcPr>
          <w:p w:rsidR="006D7EF0" w:rsidRPr="001B103F" w:rsidRDefault="006D7EF0" w:rsidP="008B1682">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color w:val="000000"/>
                <w:sz w:val="22"/>
                <w:szCs w:val="22"/>
                <w:lang w:eastAsia="en-US"/>
              </w:rPr>
            </w:pPr>
            <w:r w:rsidRPr="001B103F">
              <w:rPr>
                <w:rFonts w:ascii="Arial" w:hAnsi="Arial" w:cs="Arial"/>
                <w:color w:val="000000"/>
                <w:sz w:val="22"/>
                <w:szCs w:val="22"/>
                <w:lang w:eastAsia="en-US"/>
              </w:rPr>
              <w:t xml:space="preserve">A equivalência de unidades de trabalho (UT) para levantamentos sísmicos 2D/3D proposta para a Rodada 14 é inferior àquelas adotadas nas Rodadas 12 e 13:   </w:t>
            </w:r>
          </w:p>
          <w:p w:rsidR="006D7EF0" w:rsidRPr="001B103F" w:rsidRDefault="006D7EF0" w:rsidP="008B1682">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color w:val="000000"/>
                <w:sz w:val="22"/>
                <w:szCs w:val="22"/>
                <w:lang w:eastAsia="en-US"/>
              </w:rPr>
            </w:pPr>
          </w:p>
          <w:p w:rsidR="006D7EF0" w:rsidRPr="0009256E" w:rsidRDefault="006D7EF0" w:rsidP="008B1682">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jc w:val="both"/>
              <w:rPr>
                <w:rFonts w:ascii="Arial" w:hAnsi="Arial" w:cs="Arial"/>
                <w:color w:val="000000"/>
                <w:sz w:val="22"/>
                <w:szCs w:val="22"/>
                <w:lang w:val="en-US" w:eastAsia="en-US"/>
              </w:rPr>
            </w:pPr>
            <w:r w:rsidRPr="0009256E">
              <w:rPr>
                <w:rFonts w:ascii="Arial" w:hAnsi="Arial" w:cs="Arial"/>
                <w:color w:val="000000"/>
                <w:sz w:val="22"/>
                <w:szCs w:val="22"/>
                <w:lang w:val="en-US" w:eastAsia="en-US"/>
              </w:rPr>
              <w:t>BID 12: 3D UT/km2 = 28,436  2D UT/km = 9,849</w:t>
            </w:r>
          </w:p>
          <w:p w:rsidR="006D7EF0" w:rsidRPr="0009256E" w:rsidRDefault="006D7EF0" w:rsidP="008B1682">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jc w:val="both"/>
              <w:rPr>
                <w:rFonts w:ascii="Arial" w:hAnsi="Arial" w:cs="Arial"/>
                <w:color w:val="000000"/>
                <w:sz w:val="22"/>
                <w:szCs w:val="22"/>
                <w:lang w:val="en-US" w:eastAsia="en-US"/>
              </w:rPr>
            </w:pPr>
            <w:r w:rsidRPr="0009256E">
              <w:rPr>
                <w:rFonts w:ascii="Arial" w:hAnsi="Arial" w:cs="Arial"/>
                <w:color w:val="000000"/>
                <w:sz w:val="22"/>
                <w:szCs w:val="22"/>
                <w:lang w:val="en-US" w:eastAsia="en-US"/>
              </w:rPr>
              <w:t>BID 13: 3D UT/km2 = 28,889 2D UT/km = 10,040</w:t>
            </w:r>
          </w:p>
          <w:p w:rsidR="006D7EF0" w:rsidRPr="0009256E" w:rsidRDefault="006D7EF0" w:rsidP="008B1682">
            <w:pPr>
              <w:pStyle w:val="Legenda"/>
              <w:spacing w:before="120" w:after="120"/>
              <w:jc w:val="both"/>
              <w:rPr>
                <w:rFonts w:cs="Arial"/>
                <w:color w:val="000000" w:themeColor="text1"/>
                <w:sz w:val="22"/>
                <w:szCs w:val="22"/>
                <w:lang w:val="en-US"/>
              </w:rPr>
            </w:pPr>
            <w:r w:rsidRPr="0009256E">
              <w:rPr>
                <w:rFonts w:cs="Arial"/>
                <w:bCs/>
                <w:color w:val="000000"/>
                <w:sz w:val="22"/>
                <w:szCs w:val="22"/>
                <w:lang w:val="en-US" w:eastAsia="en-US"/>
              </w:rPr>
              <w:t>BID 14: 3D UT/km2 = 24,059 2D UT/km = 8,358</w:t>
            </w:r>
          </w:p>
        </w:tc>
      </w:tr>
      <w:tr w:rsidR="006D7EF0" w:rsidRPr="00A13F0A" w:rsidTr="00C8239C">
        <w:trPr>
          <w:trHeight w:val="2268"/>
        </w:trPr>
        <w:tc>
          <w:tcPr>
            <w:tcW w:w="551" w:type="pct"/>
            <w:vAlign w:val="center"/>
          </w:tcPr>
          <w:p w:rsidR="006D7EF0" w:rsidRPr="001B103F" w:rsidRDefault="006D7EF0" w:rsidP="006D7EF0">
            <w:pPr>
              <w:pStyle w:val="Legenda"/>
              <w:spacing w:before="120" w:after="120"/>
              <w:jc w:val="center"/>
              <w:rPr>
                <w:rFonts w:cs="Arial"/>
                <w:color w:val="000000" w:themeColor="text1"/>
                <w:sz w:val="22"/>
                <w:szCs w:val="22"/>
              </w:rPr>
            </w:pPr>
            <w:proofErr w:type="spellStart"/>
            <w:r w:rsidRPr="001B103F">
              <w:rPr>
                <w:rFonts w:cs="Arial"/>
                <w:color w:val="000000" w:themeColor="text1"/>
                <w:sz w:val="22"/>
                <w:szCs w:val="22"/>
              </w:rPr>
              <w:t>Pré</w:t>
            </w:r>
            <w:proofErr w:type="spellEnd"/>
            <w:r w:rsidRPr="001B103F">
              <w:rPr>
                <w:rFonts w:cs="Arial"/>
                <w:color w:val="000000" w:themeColor="text1"/>
                <w:sz w:val="22"/>
                <w:szCs w:val="22"/>
              </w:rPr>
              <w:t>-edital</w:t>
            </w:r>
          </w:p>
        </w:tc>
        <w:tc>
          <w:tcPr>
            <w:tcW w:w="616" w:type="pct"/>
            <w:vAlign w:val="center"/>
          </w:tcPr>
          <w:p w:rsidR="006D7EF0" w:rsidRPr="001B103F" w:rsidRDefault="006D7EF0" w:rsidP="006D7EF0">
            <w:pPr>
              <w:pStyle w:val="Legenda"/>
              <w:spacing w:before="120" w:after="120"/>
              <w:jc w:val="center"/>
              <w:rPr>
                <w:rFonts w:cs="Arial"/>
                <w:color w:val="000000" w:themeColor="text1"/>
                <w:sz w:val="22"/>
                <w:szCs w:val="22"/>
              </w:rPr>
            </w:pPr>
            <w:r w:rsidRPr="001B103F">
              <w:rPr>
                <w:rFonts w:cs="Arial"/>
                <w:color w:val="000000" w:themeColor="text1"/>
                <w:sz w:val="22"/>
                <w:szCs w:val="22"/>
              </w:rPr>
              <w:t>Alteração</w:t>
            </w:r>
          </w:p>
        </w:tc>
        <w:tc>
          <w:tcPr>
            <w:tcW w:w="363" w:type="pct"/>
            <w:vAlign w:val="center"/>
          </w:tcPr>
          <w:p w:rsidR="006D7EF0" w:rsidRPr="001B103F" w:rsidRDefault="006D7EF0" w:rsidP="006D7EF0">
            <w:pPr>
              <w:pStyle w:val="Legenda"/>
              <w:jc w:val="center"/>
              <w:rPr>
                <w:rFonts w:cs="Arial"/>
                <w:color w:val="000000" w:themeColor="text1"/>
                <w:sz w:val="22"/>
                <w:szCs w:val="22"/>
              </w:rPr>
            </w:pPr>
            <w:r w:rsidRPr="001B103F">
              <w:rPr>
                <w:rFonts w:cs="Arial"/>
                <w:color w:val="000000" w:themeColor="text1"/>
                <w:sz w:val="22"/>
                <w:szCs w:val="22"/>
              </w:rPr>
              <w:t>Anexo XIV alínea d</w:t>
            </w:r>
          </w:p>
        </w:tc>
        <w:tc>
          <w:tcPr>
            <w:tcW w:w="1525" w:type="pct"/>
            <w:vAlign w:val="center"/>
          </w:tcPr>
          <w:p w:rsidR="006D7EF0" w:rsidRPr="001B103F" w:rsidRDefault="0009256E" w:rsidP="006D7EF0">
            <w:pPr>
              <w:pStyle w:val="Legenda"/>
              <w:jc w:val="both"/>
              <w:rPr>
                <w:rFonts w:cs="Arial"/>
                <w:color w:val="000000" w:themeColor="text1"/>
                <w:sz w:val="22"/>
                <w:szCs w:val="22"/>
              </w:rPr>
            </w:pPr>
            <w:proofErr w:type="gramStart"/>
            <w:r>
              <w:rPr>
                <w:rFonts w:cs="Arial"/>
                <w:color w:val="000000" w:themeColor="text1"/>
                <w:sz w:val="22"/>
                <w:szCs w:val="22"/>
              </w:rPr>
              <w:t xml:space="preserve">d) </w:t>
            </w:r>
            <w:r w:rsidR="006D7EF0" w:rsidRPr="001B103F">
              <w:rPr>
                <w:rFonts w:cs="Arial"/>
                <w:color w:val="000000" w:themeColor="text1"/>
                <w:sz w:val="22"/>
                <w:szCs w:val="22"/>
              </w:rPr>
              <w:t>Em</w:t>
            </w:r>
            <w:proofErr w:type="gramEnd"/>
            <w:r w:rsidR="006D7EF0" w:rsidRPr="001B103F">
              <w:rPr>
                <w:rFonts w:cs="Arial"/>
                <w:color w:val="000000" w:themeColor="text1"/>
                <w:sz w:val="22"/>
                <w:szCs w:val="22"/>
              </w:rPr>
              <w:t xml:space="preserve"> todos os levantamentos e sob determinadas condições, permitir o abatimento de Unidades de Trabalho também para áreas exteriores não contratadas adjacentes à área concedida, mediante justificativa técnica.</w:t>
            </w:r>
          </w:p>
        </w:tc>
        <w:tc>
          <w:tcPr>
            <w:tcW w:w="1945" w:type="pct"/>
            <w:vAlign w:val="center"/>
          </w:tcPr>
          <w:p w:rsidR="006D7EF0" w:rsidRPr="001B103F" w:rsidRDefault="006D7EF0" w:rsidP="008B1682">
            <w:pPr>
              <w:pStyle w:val="Legenda"/>
              <w:jc w:val="both"/>
              <w:rPr>
                <w:rFonts w:cs="Arial"/>
                <w:color w:val="000000" w:themeColor="text1"/>
                <w:sz w:val="22"/>
                <w:szCs w:val="22"/>
              </w:rPr>
            </w:pPr>
            <w:r w:rsidRPr="001B103F">
              <w:rPr>
                <w:rFonts w:cs="Arial"/>
                <w:color w:val="000000" w:themeColor="text1"/>
                <w:sz w:val="22"/>
                <w:szCs w:val="22"/>
              </w:rPr>
              <w:t xml:space="preserve">Para o </w:t>
            </w:r>
            <w:proofErr w:type="spellStart"/>
            <w:r w:rsidRPr="001B103F">
              <w:rPr>
                <w:rFonts w:cs="Arial"/>
                <w:color w:val="000000" w:themeColor="text1"/>
                <w:sz w:val="22"/>
                <w:szCs w:val="22"/>
              </w:rPr>
              <w:t>imageamento</w:t>
            </w:r>
            <w:proofErr w:type="spellEnd"/>
            <w:r w:rsidRPr="001B103F">
              <w:rPr>
                <w:rFonts w:cs="Arial"/>
                <w:color w:val="000000" w:themeColor="text1"/>
                <w:sz w:val="22"/>
                <w:szCs w:val="22"/>
              </w:rPr>
              <w:t xml:space="preserve"> do bloco em sub superfície, em sua totalidade e com qualidade, é necessário uma área adicional fora dos limites do bloco, cujas dimensões depende da profundidade e inclinação dos objetivos geológicos.</w:t>
            </w:r>
          </w:p>
        </w:tc>
      </w:tr>
      <w:tr w:rsidR="006D7EF0" w:rsidRPr="00A13F0A" w:rsidTr="00C8239C">
        <w:trPr>
          <w:trHeight w:val="2268"/>
        </w:trPr>
        <w:tc>
          <w:tcPr>
            <w:tcW w:w="551" w:type="pct"/>
            <w:vAlign w:val="center"/>
          </w:tcPr>
          <w:p w:rsidR="006D7EF0" w:rsidRPr="001B103F" w:rsidRDefault="00340A67" w:rsidP="006D7EF0">
            <w:pPr>
              <w:pStyle w:val="Legenda"/>
              <w:jc w:val="center"/>
              <w:rPr>
                <w:rFonts w:cs="Arial"/>
                <w:color w:val="000000" w:themeColor="text1"/>
                <w:sz w:val="22"/>
                <w:szCs w:val="22"/>
              </w:rPr>
            </w:pPr>
            <w:proofErr w:type="spellStart"/>
            <w:r>
              <w:rPr>
                <w:rFonts w:cs="Arial"/>
                <w:color w:val="000000" w:themeColor="text1"/>
                <w:sz w:val="22"/>
                <w:szCs w:val="22"/>
              </w:rPr>
              <w:t>Pré</w:t>
            </w:r>
            <w:proofErr w:type="spellEnd"/>
            <w:r>
              <w:rPr>
                <w:rFonts w:cs="Arial"/>
                <w:color w:val="000000" w:themeColor="text1"/>
                <w:sz w:val="22"/>
                <w:szCs w:val="22"/>
              </w:rPr>
              <w:t>-Edital</w:t>
            </w:r>
          </w:p>
        </w:tc>
        <w:tc>
          <w:tcPr>
            <w:tcW w:w="616" w:type="pct"/>
            <w:vAlign w:val="center"/>
          </w:tcPr>
          <w:p w:rsidR="006D7EF0" w:rsidRPr="001B103F" w:rsidRDefault="00340A67" w:rsidP="006D7EF0">
            <w:pPr>
              <w:pStyle w:val="Legenda"/>
              <w:jc w:val="center"/>
              <w:rPr>
                <w:rFonts w:cs="Arial"/>
                <w:color w:val="000000" w:themeColor="text1"/>
                <w:sz w:val="22"/>
                <w:szCs w:val="22"/>
              </w:rPr>
            </w:pPr>
            <w:r>
              <w:rPr>
                <w:rFonts w:cs="Arial"/>
                <w:color w:val="000000" w:themeColor="text1"/>
                <w:sz w:val="22"/>
                <w:szCs w:val="22"/>
              </w:rPr>
              <w:t>Alteração</w:t>
            </w:r>
          </w:p>
        </w:tc>
        <w:tc>
          <w:tcPr>
            <w:tcW w:w="363" w:type="pct"/>
            <w:vAlign w:val="center"/>
          </w:tcPr>
          <w:p w:rsidR="006D7EF0" w:rsidRPr="001B103F" w:rsidRDefault="00340A67" w:rsidP="006D7EF0">
            <w:pPr>
              <w:pStyle w:val="Legenda"/>
              <w:jc w:val="center"/>
              <w:rPr>
                <w:rFonts w:cs="Arial"/>
                <w:color w:val="000000" w:themeColor="text1"/>
                <w:sz w:val="22"/>
                <w:szCs w:val="22"/>
              </w:rPr>
            </w:pPr>
            <w:r>
              <w:rPr>
                <w:rFonts w:cs="Arial"/>
                <w:color w:val="000000" w:themeColor="text1"/>
                <w:sz w:val="22"/>
                <w:szCs w:val="22"/>
              </w:rPr>
              <w:t>Anexo XXIII 1</w:t>
            </w:r>
          </w:p>
        </w:tc>
        <w:tc>
          <w:tcPr>
            <w:tcW w:w="1525" w:type="pct"/>
            <w:vAlign w:val="center"/>
          </w:tcPr>
          <w:p w:rsidR="006D7EF0" w:rsidRPr="001B103F" w:rsidRDefault="00340A67" w:rsidP="00340A67">
            <w:pPr>
              <w:pStyle w:val="Legenda"/>
              <w:jc w:val="both"/>
              <w:rPr>
                <w:rFonts w:cs="Arial"/>
                <w:color w:val="000000" w:themeColor="text1"/>
                <w:sz w:val="22"/>
                <w:szCs w:val="22"/>
              </w:rPr>
            </w:pPr>
            <w:r w:rsidRPr="00340A67">
              <w:rPr>
                <w:rFonts w:cs="Arial"/>
                <w:color w:val="000000" w:themeColor="text1"/>
                <w:sz w:val="22"/>
                <w:szCs w:val="22"/>
              </w:rPr>
              <w:t xml:space="preserve">1. [Inserir o nome do Banco], constituído de acordo com as leis da [inserir o nome do país, segundo o exemplo: República </w:t>
            </w:r>
            <w:proofErr w:type="spellStart"/>
            <w:r w:rsidRPr="00340A67">
              <w:rPr>
                <w:rFonts w:cs="Arial"/>
                <w:color w:val="000000" w:themeColor="text1"/>
                <w:sz w:val="22"/>
                <w:szCs w:val="22"/>
              </w:rPr>
              <w:t>Federaltiva</w:t>
            </w:r>
            <w:proofErr w:type="spellEnd"/>
            <w:r w:rsidRPr="00340A67">
              <w:rPr>
                <w:rFonts w:cs="Arial"/>
                <w:color w:val="000000" w:themeColor="text1"/>
                <w:sz w:val="22"/>
                <w:szCs w:val="22"/>
              </w:rPr>
              <w:t xml:space="preserve"> do Brasil], o “Emitente”, vem por meio desta, emitir em favor da Agência Nacional do Petróleo, Gás Natural e Biocombustíveis - ANP, uma Autarquia integrante da Administração Federal Indireta do Governo da República Federativa do Brasil, Carta de Crédito em Garantia de Caráter Irrevogável NO. [inserir o número da Carta de Crédito], através da qual o Emitente autoriza a ANP a sacar, em saque único, o Valor Nominal de R$ [inserir o Valor Nominal] , </w:t>
            </w:r>
            <w:r w:rsidRPr="00340A67">
              <w:rPr>
                <w:rFonts w:cs="Arial"/>
                <w:color w:val="000000" w:themeColor="text1"/>
                <w:sz w:val="22"/>
                <w:szCs w:val="22"/>
              </w:rPr>
              <w:lastRenderedPageBreak/>
              <w:t>reajustado</w:t>
            </w:r>
            <w:r>
              <w:rPr>
                <w:rFonts w:cs="Arial"/>
                <w:color w:val="000000" w:themeColor="text1"/>
                <w:sz w:val="22"/>
                <w:szCs w:val="22"/>
              </w:rPr>
              <w:t xml:space="preserve"> anualmente</w:t>
            </w:r>
            <w:r w:rsidRPr="00340A67">
              <w:rPr>
                <w:rFonts w:cs="Arial"/>
                <w:color w:val="000000" w:themeColor="text1"/>
                <w:sz w:val="22"/>
                <w:szCs w:val="22"/>
              </w:rPr>
              <w:t xml:space="preserve"> pelo IGP-M desde a data da sessão pública de apresentação de ofertas, mediante a apresentação de uma Ordem de Pagamento e um Comprovante de Saque (definidos abaixo) no estabelecimento do Emitente mencionado na Cláusula 5 desta Carta de Crédito, durante o Período de Saque (conforme definido no item 4 abaixo).</w:t>
            </w:r>
          </w:p>
        </w:tc>
        <w:tc>
          <w:tcPr>
            <w:tcW w:w="1945" w:type="pct"/>
            <w:vAlign w:val="center"/>
          </w:tcPr>
          <w:p w:rsidR="006D7EF0" w:rsidRPr="001B103F" w:rsidRDefault="00340A67" w:rsidP="008B1682">
            <w:pPr>
              <w:pStyle w:val="Legenda"/>
              <w:jc w:val="both"/>
              <w:rPr>
                <w:rFonts w:cs="Arial"/>
                <w:color w:val="000000" w:themeColor="text1"/>
                <w:sz w:val="22"/>
                <w:szCs w:val="22"/>
              </w:rPr>
            </w:pPr>
            <w:r>
              <w:rPr>
                <w:rFonts w:cs="Arial"/>
                <w:color w:val="000000" w:themeColor="text1"/>
                <w:sz w:val="22"/>
                <w:szCs w:val="22"/>
              </w:rPr>
              <w:lastRenderedPageBreak/>
              <w:t>A Lei do Plano Real (9.069/94) não permite reajuste com período menor do que um ano.</w:t>
            </w:r>
          </w:p>
        </w:tc>
      </w:tr>
      <w:tr w:rsidR="006D7EF0" w:rsidRPr="00697392" w:rsidTr="00C8239C">
        <w:trPr>
          <w:trHeight w:val="2268"/>
        </w:trPr>
        <w:tc>
          <w:tcPr>
            <w:tcW w:w="551" w:type="pct"/>
            <w:vAlign w:val="center"/>
          </w:tcPr>
          <w:p w:rsidR="006D7EF0" w:rsidRPr="00697392" w:rsidRDefault="00697392" w:rsidP="006D7EF0">
            <w:pPr>
              <w:pStyle w:val="Legenda"/>
              <w:jc w:val="center"/>
              <w:rPr>
                <w:rFonts w:cs="Arial"/>
                <w:color w:val="000000" w:themeColor="text1"/>
                <w:sz w:val="22"/>
                <w:szCs w:val="22"/>
              </w:rPr>
            </w:pPr>
            <w:proofErr w:type="spellStart"/>
            <w:r>
              <w:rPr>
                <w:rFonts w:cs="Arial"/>
                <w:color w:val="000000" w:themeColor="text1"/>
                <w:sz w:val="22"/>
                <w:szCs w:val="22"/>
              </w:rPr>
              <w:t>Pré</w:t>
            </w:r>
            <w:proofErr w:type="spellEnd"/>
            <w:r>
              <w:rPr>
                <w:rFonts w:cs="Arial"/>
                <w:color w:val="000000" w:themeColor="text1"/>
                <w:sz w:val="22"/>
                <w:szCs w:val="22"/>
              </w:rPr>
              <w:t>-Edital</w:t>
            </w:r>
          </w:p>
        </w:tc>
        <w:tc>
          <w:tcPr>
            <w:tcW w:w="616" w:type="pct"/>
            <w:vAlign w:val="center"/>
          </w:tcPr>
          <w:p w:rsidR="006D7EF0" w:rsidRPr="00697392" w:rsidRDefault="00697392" w:rsidP="006D7EF0">
            <w:pPr>
              <w:pStyle w:val="Legenda"/>
              <w:jc w:val="center"/>
              <w:rPr>
                <w:rFonts w:cs="Arial"/>
                <w:color w:val="000000" w:themeColor="text1"/>
                <w:sz w:val="22"/>
                <w:szCs w:val="22"/>
              </w:rPr>
            </w:pPr>
            <w:r>
              <w:rPr>
                <w:rFonts w:cs="Arial"/>
                <w:color w:val="000000" w:themeColor="text1"/>
                <w:sz w:val="22"/>
                <w:szCs w:val="22"/>
              </w:rPr>
              <w:t>Alteração</w:t>
            </w:r>
          </w:p>
        </w:tc>
        <w:tc>
          <w:tcPr>
            <w:tcW w:w="363" w:type="pct"/>
            <w:vAlign w:val="center"/>
          </w:tcPr>
          <w:p w:rsidR="006D7EF0" w:rsidRPr="00697392" w:rsidRDefault="00697392" w:rsidP="006D7EF0">
            <w:pPr>
              <w:pStyle w:val="Legenda"/>
              <w:jc w:val="center"/>
              <w:rPr>
                <w:rFonts w:cs="Arial"/>
                <w:color w:val="000000" w:themeColor="text1"/>
                <w:sz w:val="22"/>
                <w:szCs w:val="22"/>
              </w:rPr>
            </w:pPr>
            <w:r>
              <w:rPr>
                <w:rFonts w:cs="Arial"/>
                <w:color w:val="000000" w:themeColor="text1"/>
                <w:sz w:val="22"/>
                <w:szCs w:val="22"/>
              </w:rPr>
              <w:t>Anexo XXIV</w:t>
            </w:r>
          </w:p>
        </w:tc>
        <w:tc>
          <w:tcPr>
            <w:tcW w:w="1525" w:type="pct"/>
            <w:vAlign w:val="center"/>
          </w:tcPr>
          <w:p w:rsidR="00697392" w:rsidRPr="00697392" w:rsidRDefault="00697392" w:rsidP="00697392">
            <w:pPr>
              <w:pStyle w:val="Legenda"/>
              <w:jc w:val="both"/>
              <w:rPr>
                <w:rFonts w:cs="Arial"/>
                <w:color w:val="000000" w:themeColor="text1"/>
                <w:sz w:val="22"/>
                <w:szCs w:val="22"/>
              </w:rPr>
            </w:pPr>
            <w:r w:rsidRPr="00697392">
              <w:rPr>
                <w:rFonts w:cs="Arial"/>
                <w:color w:val="000000" w:themeColor="text1"/>
                <w:sz w:val="22"/>
                <w:szCs w:val="22"/>
              </w:rPr>
              <w:t>O valor garantido por esta apólice é de R$ [inserir o Valor Nominal] ([inserir o valor por extenso] reais), e será reajustado</w:t>
            </w:r>
            <w:r>
              <w:rPr>
                <w:rFonts w:cs="Arial"/>
                <w:color w:val="000000" w:themeColor="text1"/>
                <w:sz w:val="22"/>
                <w:szCs w:val="22"/>
              </w:rPr>
              <w:t xml:space="preserve"> anualmente</w:t>
            </w:r>
            <w:r w:rsidRPr="00697392">
              <w:rPr>
                <w:rFonts w:cs="Arial"/>
                <w:color w:val="000000" w:themeColor="text1"/>
                <w:sz w:val="22"/>
                <w:szCs w:val="22"/>
              </w:rPr>
              <w:t xml:space="preserve"> pelo IGP-M desde a data da sessão pública de apresentação de ofertas.</w:t>
            </w:r>
          </w:p>
          <w:p w:rsidR="006D7EF0" w:rsidRPr="00697392" w:rsidRDefault="00697392" w:rsidP="00697392">
            <w:pPr>
              <w:pStyle w:val="Legenda"/>
              <w:jc w:val="both"/>
              <w:rPr>
                <w:rFonts w:cs="Arial"/>
                <w:color w:val="000000" w:themeColor="text1"/>
                <w:sz w:val="22"/>
                <w:szCs w:val="22"/>
              </w:rPr>
            </w:pPr>
            <w:r w:rsidRPr="00697392">
              <w:rPr>
                <w:rFonts w:cs="Arial"/>
                <w:color w:val="000000" w:themeColor="text1"/>
                <w:sz w:val="22"/>
                <w:szCs w:val="22"/>
              </w:rPr>
              <w:t>O prêmio desta apólice é de R$ [inserir o Valor Nominal] ([inserir o valor por extenso] reais).</w:t>
            </w:r>
          </w:p>
        </w:tc>
        <w:tc>
          <w:tcPr>
            <w:tcW w:w="1945" w:type="pct"/>
            <w:vAlign w:val="center"/>
          </w:tcPr>
          <w:p w:rsidR="006D7EF0" w:rsidRPr="00697392" w:rsidRDefault="00697392" w:rsidP="008B1682">
            <w:pPr>
              <w:pStyle w:val="Legenda"/>
              <w:jc w:val="both"/>
              <w:rPr>
                <w:rFonts w:cs="Arial"/>
                <w:color w:val="000000" w:themeColor="text1"/>
                <w:sz w:val="22"/>
                <w:szCs w:val="22"/>
              </w:rPr>
            </w:pPr>
            <w:r>
              <w:rPr>
                <w:rFonts w:cs="Arial"/>
                <w:color w:val="000000" w:themeColor="text1"/>
                <w:sz w:val="22"/>
                <w:szCs w:val="22"/>
              </w:rPr>
              <w:t>A Lei do Plano Real (9.069/94) não permite reajuste com período menor do que um ano.</w:t>
            </w:r>
          </w:p>
        </w:tc>
      </w:tr>
      <w:tr w:rsidR="006D7EF0" w:rsidRPr="00697392" w:rsidTr="00C8239C">
        <w:trPr>
          <w:trHeight w:val="2268"/>
        </w:trPr>
        <w:tc>
          <w:tcPr>
            <w:tcW w:w="551" w:type="pct"/>
            <w:vAlign w:val="center"/>
          </w:tcPr>
          <w:p w:rsidR="006D7EF0" w:rsidRPr="00697392" w:rsidRDefault="001A73BC" w:rsidP="006D7EF0">
            <w:pPr>
              <w:pStyle w:val="Legenda"/>
              <w:jc w:val="center"/>
              <w:rPr>
                <w:rFonts w:cs="Arial"/>
                <w:color w:val="000000" w:themeColor="text1"/>
                <w:sz w:val="22"/>
                <w:szCs w:val="22"/>
              </w:rPr>
            </w:pPr>
            <w:proofErr w:type="spellStart"/>
            <w:r>
              <w:rPr>
                <w:rFonts w:cs="Arial"/>
                <w:color w:val="000000" w:themeColor="text1"/>
                <w:sz w:val="22"/>
                <w:szCs w:val="22"/>
              </w:rPr>
              <w:t>Pré</w:t>
            </w:r>
            <w:proofErr w:type="spellEnd"/>
            <w:r>
              <w:rPr>
                <w:rFonts w:cs="Arial"/>
                <w:color w:val="000000" w:themeColor="text1"/>
                <w:sz w:val="22"/>
                <w:szCs w:val="22"/>
              </w:rPr>
              <w:t>-Edital</w:t>
            </w:r>
          </w:p>
        </w:tc>
        <w:tc>
          <w:tcPr>
            <w:tcW w:w="616" w:type="pct"/>
            <w:vAlign w:val="center"/>
          </w:tcPr>
          <w:p w:rsidR="006D7EF0" w:rsidRPr="00697392" w:rsidRDefault="001A73BC" w:rsidP="006D7EF0">
            <w:pPr>
              <w:pStyle w:val="Legenda"/>
              <w:jc w:val="center"/>
              <w:rPr>
                <w:rFonts w:cs="Arial"/>
                <w:color w:val="000000" w:themeColor="text1"/>
                <w:sz w:val="22"/>
                <w:szCs w:val="22"/>
              </w:rPr>
            </w:pPr>
            <w:r>
              <w:rPr>
                <w:rFonts w:cs="Arial"/>
                <w:color w:val="000000" w:themeColor="text1"/>
                <w:sz w:val="22"/>
                <w:szCs w:val="22"/>
              </w:rPr>
              <w:t>Alteração</w:t>
            </w:r>
          </w:p>
        </w:tc>
        <w:tc>
          <w:tcPr>
            <w:tcW w:w="363" w:type="pct"/>
            <w:vAlign w:val="center"/>
          </w:tcPr>
          <w:p w:rsidR="006D7EF0" w:rsidRPr="00697392" w:rsidRDefault="001A73BC" w:rsidP="006D7EF0">
            <w:pPr>
              <w:pStyle w:val="Legenda"/>
              <w:jc w:val="center"/>
              <w:rPr>
                <w:rFonts w:cs="Arial"/>
                <w:color w:val="000000" w:themeColor="text1"/>
                <w:sz w:val="22"/>
                <w:szCs w:val="22"/>
              </w:rPr>
            </w:pPr>
            <w:r>
              <w:rPr>
                <w:rFonts w:cs="Arial"/>
                <w:color w:val="000000" w:themeColor="text1"/>
                <w:sz w:val="22"/>
                <w:szCs w:val="22"/>
              </w:rPr>
              <w:t>Anexo XXV</w:t>
            </w:r>
            <w:r w:rsidR="002153E5">
              <w:rPr>
                <w:rFonts w:cs="Arial"/>
                <w:color w:val="000000" w:themeColor="text1"/>
                <w:sz w:val="22"/>
                <w:szCs w:val="22"/>
              </w:rPr>
              <w:t xml:space="preserve"> parte 1 -</w:t>
            </w:r>
            <w:r>
              <w:rPr>
                <w:rFonts w:cs="Arial"/>
                <w:color w:val="000000" w:themeColor="text1"/>
                <w:sz w:val="22"/>
                <w:szCs w:val="22"/>
              </w:rPr>
              <w:t xml:space="preserve"> </w:t>
            </w:r>
            <w:proofErr w:type="gramStart"/>
            <w:r>
              <w:rPr>
                <w:rFonts w:cs="Arial"/>
                <w:color w:val="000000" w:themeColor="text1"/>
                <w:sz w:val="22"/>
                <w:szCs w:val="22"/>
              </w:rPr>
              <w:t>3.3 alínea</w:t>
            </w:r>
            <w:proofErr w:type="gramEnd"/>
            <w:r>
              <w:rPr>
                <w:rFonts w:cs="Arial"/>
                <w:color w:val="000000" w:themeColor="text1"/>
                <w:sz w:val="22"/>
                <w:szCs w:val="22"/>
              </w:rPr>
              <w:t xml:space="preserve"> b</w:t>
            </w:r>
          </w:p>
        </w:tc>
        <w:tc>
          <w:tcPr>
            <w:tcW w:w="1525" w:type="pct"/>
            <w:vAlign w:val="center"/>
          </w:tcPr>
          <w:p w:rsidR="006D7EF0" w:rsidRPr="00697392" w:rsidRDefault="0009256E" w:rsidP="001A73BC">
            <w:pPr>
              <w:pStyle w:val="Legenda"/>
              <w:jc w:val="both"/>
              <w:rPr>
                <w:rFonts w:cs="Arial"/>
                <w:color w:val="000000" w:themeColor="text1"/>
                <w:sz w:val="22"/>
                <w:szCs w:val="22"/>
              </w:rPr>
            </w:pPr>
            <w:r>
              <w:rPr>
                <w:rFonts w:cs="Arial"/>
                <w:color w:val="000000" w:themeColor="text1"/>
                <w:sz w:val="22"/>
                <w:szCs w:val="22"/>
              </w:rPr>
              <w:t xml:space="preserve">b) </w:t>
            </w:r>
            <w:r w:rsidR="001A73BC" w:rsidRPr="001A73BC">
              <w:rPr>
                <w:rFonts w:cs="Arial"/>
                <w:color w:val="000000" w:themeColor="text1"/>
                <w:sz w:val="22"/>
                <w:szCs w:val="22"/>
              </w:rPr>
              <w:t>Garantia Requerida: é o valor mínimo que o concessionário deve empenhar à ANP para garantir a liquidação das obrigações decorrentes do valor total [ou equivalente a ____%] do PEM dos blocos listados no Anexo II do presente instrumento, que será reajustado</w:t>
            </w:r>
            <w:r w:rsidR="001A73BC">
              <w:rPr>
                <w:rFonts w:cs="Arial"/>
                <w:color w:val="000000" w:themeColor="text1"/>
                <w:sz w:val="22"/>
                <w:szCs w:val="22"/>
              </w:rPr>
              <w:t xml:space="preserve"> anualmente</w:t>
            </w:r>
            <w:r w:rsidR="001A73BC" w:rsidRPr="001A73BC">
              <w:rPr>
                <w:rFonts w:cs="Arial"/>
                <w:color w:val="000000" w:themeColor="text1"/>
                <w:sz w:val="22"/>
                <w:szCs w:val="22"/>
              </w:rPr>
              <w:t xml:space="preserve"> pelo IGP-M desde a data da sessão pública de apresentação de ofertas.</w:t>
            </w:r>
          </w:p>
        </w:tc>
        <w:tc>
          <w:tcPr>
            <w:tcW w:w="1945" w:type="pct"/>
            <w:vAlign w:val="center"/>
          </w:tcPr>
          <w:p w:rsidR="006D7EF0" w:rsidRPr="00697392" w:rsidRDefault="00697392" w:rsidP="008B1682">
            <w:pPr>
              <w:pStyle w:val="Legenda"/>
              <w:jc w:val="both"/>
              <w:rPr>
                <w:rFonts w:cs="Arial"/>
                <w:color w:val="000000" w:themeColor="text1"/>
                <w:sz w:val="22"/>
                <w:szCs w:val="22"/>
              </w:rPr>
            </w:pPr>
            <w:r>
              <w:rPr>
                <w:rFonts w:cs="Arial"/>
                <w:color w:val="000000" w:themeColor="text1"/>
                <w:sz w:val="22"/>
                <w:szCs w:val="22"/>
              </w:rPr>
              <w:t>A Lei do Plano Real (9.069/94) não permite reajuste com período menor do que um ano.</w:t>
            </w:r>
          </w:p>
        </w:tc>
      </w:tr>
      <w:tr w:rsidR="002153E5" w:rsidRPr="00697392" w:rsidTr="00C8239C">
        <w:trPr>
          <w:trHeight w:val="2268"/>
        </w:trPr>
        <w:tc>
          <w:tcPr>
            <w:tcW w:w="551" w:type="pct"/>
            <w:vAlign w:val="center"/>
          </w:tcPr>
          <w:p w:rsidR="002153E5" w:rsidRPr="00697392" w:rsidRDefault="002153E5" w:rsidP="002153E5">
            <w:pPr>
              <w:pStyle w:val="Legenda"/>
              <w:jc w:val="center"/>
              <w:rPr>
                <w:rFonts w:cs="Arial"/>
                <w:color w:val="000000" w:themeColor="text1"/>
                <w:sz w:val="22"/>
                <w:szCs w:val="22"/>
              </w:rPr>
            </w:pPr>
            <w:proofErr w:type="spellStart"/>
            <w:r>
              <w:rPr>
                <w:rFonts w:cs="Arial"/>
                <w:color w:val="000000" w:themeColor="text1"/>
                <w:sz w:val="22"/>
                <w:szCs w:val="22"/>
              </w:rPr>
              <w:lastRenderedPageBreak/>
              <w:t>Pré</w:t>
            </w:r>
            <w:proofErr w:type="spellEnd"/>
            <w:r>
              <w:rPr>
                <w:rFonts w:cs="Arial"/>
                <w:color w:val="000000" w:themeColor="text1"/>
                <w:sz w:val="22"/>
                <w:szCs w:val="22"/>
              </w:rPr>
              <w:t>-Edital</w:t>
            </w:r>
          </w:p>
        </w:tc>
        <w:tc>
          <w:tcPr>
            <w:tcW w:w="616" w:type="pct"/>
            <w:vAlign w:val="center"/>
          </w:tcPr>
          <w:p w:rsidR="002153E5" w:rsidRPr="00697392" w:rsidRDefault="002153E5" w:rsidP="002153E5">
            <w:pPr>
              <w:pStyle w:val="Legenda"/>
              <w:jc w:val="center"/>
              <w:rPr>
                <w:rFonts w:cs="Arial"/>
                <w:color w:val="000000" w:themeColor="text1"/>
                <w:sz w:val="22"/>
                <w:szCs w:val="22"/>
              </w:rPr>
            </w:pPr>
            <w:r>
              <w:rPr>
                <w:rFonts w:cs="Arial"/>
                <w:color w:val="000000" w:themeColor="text1"/>
                <w:sz w:val="22"/>
                <w:szCs w:val="22"/>
              </w:rPr>
              <w:t>Alteração</w:t>
            </w:r>
          </w:p>
        </w:tc>
        <w:tc>
          <w:tcPr>
            <w:tcW w:w="363" w:type="pct"/>
            <w:vAlign w:val="center"/>
          </w:tcPr>
          <w:p w:rsidR="002153E5" w:rsidRPr="00697392" w:rsidRDefault="002153E5" w:rsidP="002153E5">
            <w:pPr>
              <w:pStyle w:val="Legenda"/>
              <w:jc w:val="center"/>
              <w:rPr>
                <w:rFonts w:cs="Arial"/>
                <w:color w:val="000000" w:themeColor="text1"/>
                <w:sz w:val="22"/>
                <w:szCs w:val="22"/>
              </w:rPr>
            </w:pPr>
            <w:r>
              <w:rPr>
                <w:rFonts w:cs="Arial"/>
                <w:color w:val="000000" w:themeColor="text1"/>
                <w:sz w:val="22"/>
                <w:szCs w:val="22"/>
              </w:rPr>
              <w:t xml:space="preserve">Anexo XXV parte 2 - </w:t>
            </w:r>
            <w:proofErr w:type="gramStart"/>
            <w:r>
              <w:rPr>
                <w:rFonts w:cs="Arial"/>
                <w:color w:val="000000" w:themeColor="text1"/>
                <w:sz w:val="22"/>
                <w:szCs w:val="22"/>
              </w:rPr>
              <w:t>3.3 alínea</w:t>
            </w:r>
            <w:proofErr w:type="gramEnd"/>
            <w:r>
              <w:rPr>
                <w:rFonts w:cs="Arial"/>
                <w:color w:val="000000" w:themeColor="text1"/>
                <w:sz w:val="22"/>
                <w:szCs w:val="22"/>
              </w:rPr>
              <w:t xml:space="preserve"> b</w:t>
            </w:r>
          </w:p>
        </w:tc>
        <w:tc>
          <w:tcPr>
            <w:tcW w:w="1525" w:type="pct"/>
            <w:vAlign w:val="center"/>
          </w:tcPr>
          <w:p w:rsidR="002153E5" w:rsidRPr="00697392" w:rsidRDefault="0009256E" w:rsidP="002153E5">
            <w:pPr>
              <w:pStyle w:val="Legenda"/>
              <w:jc w:val="both"/>
              <w:rPr>
                <w:rFonts w:cs="Arial"/>
                <w:color w:val="000000" w:themeColor="text1"/>
                <w:sz w:val="22"/>
                <w:szCs w:val="22"/>
              </w:rPr>
            </w:pPr>
            <w:r>
              <w:rPr>
                <w:rFonts w:cs="Arial"/>
                <w:color w:val="000000" w:themeColor="text1"/>
                <w:sz w:val="22"/>
                <w:szCs w:val="22"/>
              </w:rPr>
              <w:t xml:space="preserve">b) </w:t>
            </w:r>
            <w:r w:rsidR="002153E5" w:rsidRPr="002153E5">
              <w:rPr>
                <w:rFonts w:cs="Arial"/>
                <w:color w:val="000000" w:themeColor="text1"/>
                <w:sz w:val="22"/>
                <w:szCs w:val="22"/>
              </w:rPr>
              <w:t xml:space="preserve">Garantia Requerida: é o valor mínimo que a Contratada deve empenhar à ANP para garantir a liquidação das obrigações decorrentes do valor total [ou equivalente a ____%] do PEM dos blocos listados no Anexo II do presente instrumento, que será reajustado </w:t>
            </w:r>
            <w:r w:rsidR="002153E5">
              <w:rPr>
                <w:rFonts w:cs="Arial"/>
                <w:color w:val="000000" w:themeColor="text1"/>
                <w:sz w:val="22"/>
                <w:szCs w:val="22"/>
              </w:rPr>
              <w:t xml:space="preserve">anualmente </w:t>
            </w:r>
            <w:r w:rsidR="002153E5" w:rsidRPr="002153E5">
              <w:rPr>
                <w:rFonts w:cs="Arial"/>
                <w:color w:val="000000" w:themeColor="text1"/>
                <w:sz w:val="22"/>
                <w:szCs w:val="22"/>
              </w:rPr>
              <w:t>pelo IGP-M desde a data da sessão pública de apresentação de ofertas.</w:t>
            </w:r>
          </w:p>
        </w:tc>
        <w:tc>
          <w:tcPr>
            <w:tcW w:w="1945" w:type="pct"/>
            <w:vAlign w:val="center"/>
          </w:tcPr>
          <w:p w:rsidR="002153E5" w:rsidRPr="00697392" w:rsidRDefault="002153E5" w:rsidP="008B1682">
            <w:pPr>
              <w:pStyle w:val="Legenda"/>
              <w:jc w:val="both"/>
              <w:rPr>
                <w:rFonts w:cs="Arial"/>
                <w:color w:val="000000" w:themeColor="text1"/>
                <w:sz w:val="22"/>
                <w:szCs w:val="22"/>
              </w:rPr>
            </w:pPr>
            <w:r>
              <w:rPr>
                <w:rFonts w:cs="Arial"/>
                <w:color w:val="000000" w:themeColor="text1"/>
                <w:sz w:val="22"/>
                <w:szCs w:val="22"/>
              </w:rPr>
              <w:t>A Lei do Plano Real (9.069/94) não permite reajuste com período menor do que um ano.</w:t>
            </w:r>
          </w:p>
        </w:tc>
      </w:tr>
      <w:tr w:rsidR="002153E5" w:rsidRPr="00697392" w:rsidTr="00C8239C">
        <w:trPr>
          <w:trHeight w:val="2268"/>
        </w:trPr>
        <w:tc>
          <w:tcPr>
            <w:tcW w:w="551" w:type="pct"/>
            <w:vAlign w:val="center"/>
          </w:tcPr>
          <w:p w:rsidR="002153E5" w:rsidRPr="00697392" w:rsidRDefault="0026083C" w:rsidP="002153E5">
            <w:pPr>
              <w:pStyle w:val="Legenda"/>
              <w:jc w:val="center"/>
              <w:rPr>
                <w:rFonts w:cs="Arial"/>
                <w:color w:val="000000" w:themeColor="text1"/>
                <w:sz w:val="22"/>
                <w:szCs w:val="22"/>
              </w:rPr>
            </w:pPr>
            <w:proofErr w:type="spellStart"/>
            <w:r>
              <w:rPr>
                <w:rFonts w:cs="Arial"/>
                <w:color w:val="000000" w:themeColor="text1"/>
                <w:sz w:val="22"/>
                <w:szCs w:val="22"/>
              </w:rPr>
              <w:t>Pré</w:t>
            </w:r>
            <w:proofErr w:type="spellEnd"/>
            <w:r>
              <w:rPr>
                <w:rFonts w:cs="Arial"/>
                <w:color w:val="000000" w:themeColor="text1"/>
                <w:sz w:val="22"/>
                <w:szCs w:val="22"/>
              </w:rPr>
              <w:t>-Edital</w:t>
            </w:r>
          </w:p>
        </w:tc>
        <w:tc>
          <w:tcPr>
            <w:tcW w:w="616" w:type="pct"/>
            <w:vAlign w:val="center"/>
          </w:tcPr>
          <w:p w:rsidR="002153E5" w:rsidRPr="00697392" w:rsidRDefault="0026083C" w:rsidP="002153E5">
            <w:pPr>
              <w:pStyle w:val="Legenda"/>
              <w:jc w:val="center"/>
              <w:rPr>
                <w:rFonts w:cs="Arial"/>
                <w:color w:val="000000" w:themeColor="text1"/>
                <w:sz w:val="22"/>
                <w:szCs w:val="22"/>
              </w:rPr>
            </w:pPr>
            <w:r>
              <w:rPr>
                <w:rFonts w:cs="Arial"/>
                <w:color w:val="000000" w:themeColor="text1"/>
                <w:sz w:val="22"/>
                <w:szCs w:val="22"/>
              </w:rPr>
              <w:t>Alteração</w:t>
            </w:r>
          </w:p>
        </w:tc>
        <w:tc>
          <w:tcPr>
            <w:tcW w:w="363" w:type="pct"/>
            <w:vAlign w:val="center"/>
          </w:tcPr>
          <w:p w:rsidR="002153E5" w:rsidRPr="00697392" w:rsidRDefault="0026083C" w:rsidP="002153E5">
            <w:pPr>
              <w:pStyle w:val="Legenda"/>
              <w:jc w:val="center"/>
              <w:rPr>
                <w:rFonts w:cs="Arial"/>
                <w:color w:val="000000" w:themeColor="text1"/>
                <w:sz w:val="22"/>
                <w:szCs w:val="22"/>
              </w:rPr>
            </w:pPr>
            <w:r>
              <w:rPr>
                <w:rFonts w:cs="Arial"/>
                <w:color w:val="000000" w:themeColor="text1"/>
                <w:sz w:val="22"/>
                <w:szCs w:val="22"/>
              </w:rPr>
              <w:t>Anexo XXVI</w:t>
            </w:r>
          </w:p>
        </w:tc>
        <w:tc>
          <w:tcPr>
            <w:tcW w:w="1525" w:type="pct"/>
            <w:vAlign w:val="center"/>
          </w:tcPr>
          <w:p w:rsidR="002153E5" w:rsidRPr="00697392" w:rsidRDefault="0026083C" w:rsidP="0026083C">
            <w:pPr>
              <w:pStyle w:val="Legenda"/>
              <w:jc w:val="both"/>
              <w:rPr>
                <w:rFonts w:cs="Arial"/>
                <w:color w:val="000000" w:themeColor="text1"/>
                <w:sz w:val="22"/>
                <w:szCs w:val="22"/>
              </w:rPr>
            </w:pPr>
            <w:r w:rsidRPr="0026083C">
              <w:rPr>
                <w:rFonts w:cs="Arial"/>
                <w:color w:val="000000" w:themeColor="text1"/>
                <w:sz w:val="22"/>
                <w:szCs w:val="22"/>
              </w:rPr>
              <w:t xml:space="preserve">As licitantes [inserir a denominação social das licitantes], representadas por </w:t>
            </w:r>
            <w:proofErr w:type="gramStart"/>
            <w:r w:rsidRPr="0026083C">
              <w:rPr>
                <w:rFonts w:cs="Arial"/>
                <w:color w:val="000000" w:themeColor="text1"/>
                <w:sz w:val="22"/>
                <w:szCs w:val="22"/>
              </w:rPr>
              <w:t>seu(</w:t>
            </w:r>
            <w:proofErr w:type="gramEnd"/>
            <w:r w:rsidRPr="0026083C">
              <w:rPr>
                <w:rFonts w:cs="Arial"/>
                <w:color w:val="000000" w:themeColor="text1"/>
                <w:sz w:val="22"/>
                <w:szCs w:val="22"/>
              </w:rPr>
              <w:t>s) representante(s) credenciado(s), sob as penas previstas na legislação aplicável, declaram que têm plena ciência (i) do edital da 14ª Rodada de Licitações e seus anexos: (</w:t>
            </w:r>
            <w:proofErr w:type="spellStart"/>
            <w:r w:rsidRPr="0026083C">
              <w:rPr>
                <w:rFonts w:cs="Arial"/>
                <w:color w:val="000000" w:themeColor="text1"/>
                <w:sz w:val="22"/>
                <w:szCs w:val="22"/>
              </w:rPr>
              <w:t>ii</w:t>
            </w:r>
            <w:proofErr w:type="spellEnd"/>
            <w:r w:rsidRPr="0026083C">
              <w:rPr>
                <w:rFonts w:cs="Arial"/>
                <w:color w:val="000000" w:themeColor="text1"/>
                <w:sz w:val="22"/>
                <w:szCs w:val="22"/>
              </w:rPr>
              <w:t>) da cláusula 14.4 do Contrato de Concessão e (</w:t>
            </w:r>
            <w:proofErr w:type="spellStart"/>
            <w:r w:rsidRPr="0026083C">
              <w:rPr>
                <w:rFonts w:cs="Arial"/>
                <w:color w:val="000000" w:themeColor="text1"/>
                <w:sz w:val="22"/>
                <w:szCs w:val="22"/>
              </w:rPr>
              <w:t>iii</w:t>
            </w:r>
            <w:proofErr w:type="spellEnd"/>
            <w:r w:rsidRPr="0026083C">
              <w:rPr>
                <w:rFonts w:cs="Arial"/>
                <w:color w:val="000000" w:themeColor="text1"/>
                <w:sz w:val="22"/>
                <w:szCs w:val="22"/>
              </w:rPr>
              <w:t>) de que as obrigações do programa exploratório mínimo são divisíveis, cabendo ao consórcio a obrigação de ressarcimento em caso de seu descumprimento.</w:t>
            </w:r>
          </w:p>
        </w:tc>
        <w:tc>
          <w:tcPr>
            <w:tcW w:w="1945" w:type="pct"/>
            <w:vAlign w:val="center"/>
          </w:tcPr>
          <w:p w:rsidR="002153E5" w:rsidRPr="00697392" w:rsidRDefault="0026083C" w:rsidP="008B1682">
            <w:pPr>
              <w:pStyle w:val="Legenda"/>
              <w:jc w:val="both"/>
              <w:rPr>
                <w:rFonts w:cs="Arial"/>
                <w:color w:val="000000" w:themeColor="text1"/>
                <w:sz w:val="22"/>
                <w:szCs w:val="22"/>
              </w:rPr>
            </w:pPr>
            <w:r w:rsidRPr="00365A2A">
              <w:rPr>
                <w:rFonts w:cs="Arial"/>
                <w:color w:val="000000"/>
                <w:sz w:val="22"/>
                <w:szCs w:val="22"/>
                <w:lang w:eastAsia="en-US"/>
              </w:rPr>
              <w:t>O fato de haver solidariedade já traz segurança suficiente à ANP quanto ao cumprimento ou ressarcimento do PEM. A indivisibilidade trará uma duplicidade no atendimento a essa obrigação contratual.</w:t>
            </w:r>
          </w:p>
        </w:tc>
      </w:tr>
      <w:tr w:rsidR="00DD2272" w:rsidRPr="00697392" w:rsidTr="00C8239C">
        <w:trPr>
          <w:trHeight w:val="2268"/>
        </w:trPr>
        <w:tc>
          <w:tcPr>
            <w:tcW w:w="551" w:type="pct"/>
            <w:vAlign w:val="center"/>
          </w:tcPr>
          <w:p w:rsidR="00DD2272" w:rsidRDefault="00DD2272" w:rsidP="00DD2272">
            <w:pPr>
              <w:pStyle w:val="Legenda"/>
              <w:jc w:val="center"/>
              <w:rPr>
                <w:rFonts w:cs="Arial"/>
                <w:color w:val="000000" w:themeColor="text1"/>
                <w:sz w:val="22"/>
                <w:szCs w:val="22"/>
              </w:rPr>
            </w:pPr>
            <w:r>
              <w:rPr>
                <w:rFonts w:cs="Arial"/>
                <w:color w:val="000000" w:themeColor="text1"/>
                <w:sz w:val="22"/>
                <w:szCs w:val="22"/>
              </w:rPr>
              <w:t>Minuta do Contrato de Concessão</w:t>
            </w:r>
          </w:p>
        </w:tc>
        <w:tc>
          <w:tcPr>
            <w:tcW w:w="616" w:type="pct"/>
            <w:vAlign w:val="center"/>
          </w:tcPr>
          <w:p w:rsidR="00DD2272" w:rsidRPr="00DD2272" w:rsidRDefault="00DD2272" w:rsidP="00DD2272">
            <w:pPr>
              <w:pStyle w:val="Legenda"/>
              <w:jc w:val="center"/>
              <w:rPr>
                <w:rFonts w:cs="Arial"/>
                <w:color w:val="000000" w:themeColor="text1"/>
                <w:sz w:val="22"/>
                <w:szCs w:val="22"/>
              </w:rPr>
            </w:pPr>
            <w:r w:rsidRPr="00DD2272">
              <w:rPr>
                <w:rFonts w:cs="Arial"/>
                <w:color w:val="000000" w:themeColor="text1"/>
                <w:sz w:val="22"/>
                <w:szCs w:val="22"/>
              </w:rPr>
              <w:t>Alteração</w:t>
            </w:r>
          </w:p>
        </w:tc>
        <w:tc>
          <w:tcPr>
            <w:tcW w:w="363" w:type="pct"/>
            <w:vAlign w:val="center"/>
          </w:tcPr>
          <w:p w:rsidR="00DD2272" w:rsidRPr="00DD2272" w:rsidRDefault="00DD2272" w:rsidP="00DD2272">
            <w:pPr>
              <w:pStyle w:val="Legenda"/>
              <w:jc w:val="center"/>
              <w:rPr>
                <w:rFonts w:cs="Arial"/>
                <w:color w:val="000000" w:themeColor="text1"/>
                <w:sz w:val="22"/>
                <w:szCs w:val="22"/>
              </w:rPr>
            </w:pPr>
            <w:r w:rsidRPr="00DD2272">
              <w:rPr>
                <w:rFonts w:cs="Arial"/>
                <w:color w:val="000000" w:themeColor="text1"/>
                <w:sz w:val="22"/>
                <w:szCs w:val="22"/>
              </w:rPr>
              <w:t>1.2.2</w:t>
            </w:r>
          </w:p>
        </w:tc>
        <w:tc>
          <w:tcPr>
            <w:tcW w:w="1525" w:type="pct"/>
            <w:vAlign w:val="center"/>
          </w:tcPr>
          <w:p w:rsidR="00DD2272" w:rsidRPr="00DD2272" w:rsidRDefault="00DD2272" w:rsidP="00DD2272">
            <w:pPr>
              <w:pStyle w:val="Legenda"/>
              <w:jc w:val="both"/>
              <w:rPr>
                <w:rFonts w:cs="Arial"/>
                <w:color w:val="000000" w:themeColor="text1"/>
                <w:sz w:val="22"/>
                <w:szCs w:val="22"/>
              </w:rPr>
            </w:pPr>
            <w:r w:rsidRPr="00DD2272">
              <w:rPr>
                <w:rFonts w:cs="Arial"/>
                <w:color w:val="000000" w:themeColor="text1"/>
                <w:sz w:val="22"/>
                <w:szCs w:val="22"/>
              </w:rPr>
              <w:t>Área de Campo: é a área circunscrita pelo polígono que define o Campo.</w:t>
            </w:r>
          </w:p>
        </w:tc>
        <w:tc>
          <w:tcPr>
            <w:tcW w:w="1945" w:type="pct"/>
            <w:vAlign w:val="center"/>
          </w:tcPr>
          <w:p w:rsidR="00DD2272" w:rsidRPr="00DD2272" w:rsidRDefault="00DD2272" w:rsidP="008B1682">
            <w:pPr>
              <w:pStyle w:val="Legenda"/>
              <w:jc w:val="both"/>
              <w:rPr>
                <w:rFonts w:cs="Arial"/>
                <w:color w:val="000000" w:themeColor="text1"/>
                <w:sz w:val="22"/>
                <w:szCs w:val="22"/>
              </w:rPr>
            </w:pPr>
            <w:r w:rsidRPr="00DD2272">
              <w:rPr>
                <w:rFonts w:cs="Arial"/>
                <w:color w:val="000000" w:themeColor="text1"/>
                <w:sz w:val="22"/>
                <w:szCs w:val="22"/>
              </w:rPr>
              <w:t>A definição da área do Campo ocorre por ocasião da Declaração de Comercialidade.</w:t>
            </w:r>
          </w:p>
        </w:tc>
      </w:tr>
      <w:tr w:rsidR="00AC20F9" w:rsidRPr="00697392" w:rsidTr="00C8239C">
        <w:trPr>
          <w:trHeight w:val="2268"/>
        </w:trPr>
        <w:tc>
          <w:tcPr>
            <w:tcW w:w="551" w:type="pct"/>
            <w:vAlign w:val="center"/>
          </w:tcPr>
          <w:p w:rsidR="00AC20F9" w:rsidRDefault="00AC20F9" w:rsidP="00AC20F9">
            <w:pPr>
              <w:pStyle w:val="Legenda"/>
              <w:jc w:val="center"/>
              <w:rPr>
                <w:rFonts w:cs="Arial"/>
                <w:color w:val="000000" w:themeColor="text1"/>
                <w:sz w:val="22"/>
                <w:szCs w:val="22"/>
              </w:rPr>
            </w:pPr>
            <w:r>
              <w:rPr>
                <w:rFonts w:cs="Arial"/>
                <w:color w:val="000000" w:themeColor="text1"/>
                <w:sz w:val="22"/>
                <w:szCs w:val="22"/>
              </w:rPr>
              <w:lastRenderedPageBreak/>
              <w:t>Minuta do Contrato de Concessão</w:t>
            </w:r>
          </w:p>
        </w:tc>
        <w:tc>
          <w:tcPr>
            <w:tcW w:w="616" w:type="pct"/>
            <w:vAlign w:val="center"/>
          </w:tcPr>
          <w:p w:rsidR="00AC20F9" w:rsidRPr="00A024C7" w:rsidRDefault="00AC20F9" w:rsidP="00AC20F9">
            <w:pPr>
              <w:pStyle w:val="Legenda"/>
              <w:jc w:val="center"/>
              <w:rPr>
                <w:rFonts w:cs="Arial"/>
                <w:color w:val="000000" w:themeColor="text1"/>
                <w:sz w:val="22"/>
                <w:szCs w:val="22"/>
              </w:rPr>
            </w:pPr>
            <w:r w:rsidRPr="00A024C7">
              <w:rPr>
                <w:rFonts w:cs="Arial"/>
                <w:color w:val="000000" w:themeColor="text1"/>
                <w:sz w:val="22"/>
                <w:szCs w:val="22"/>
              </w:rPr>
              <w:t>Alteração</w:t>
            </w:r>
          </w:p>
        </w:tc>
        <w:tc>
          <w:tcPr>
            <w:tcW w:w="363" w:type="pct"/>
            <w:vAlign w:val="center"/>
          </w:tcPr>
          <w:p w:rsidR="00AC20F9" w:rsidRPr="00A024C7" w:rsidRDefault="00AC20F9" w:rsidP="00AC20F9">
            <w:pPr>
              <w:pStyle w:val="Legenda"/>
              <w:jc w:val="center"/>
              <w:rPr>
                <w:rFonts w:cs="Arial"/>
                <w:color w:val="000000" w:themeColor="text1"/>
                <w:sz w:val="22"/>
                <w:szCs w:val="22"/>
              </w:rPr>
            </w:pPr>
            <w:r w:rsidRPr="00A024C7">
              <w:rPr>
                <w:rFonts w:cs="Arial"/>
                <w:color w:val="000000" w:themeColor="text1"/>
                <w:sz w:val="22"/>
                <w:szCs w:val="22"/>
              </w:rPr>
              <w:t>1.2.3</w:t>
            </w:r>
          </w:p>
        </w:tc>
        <w:tc>
          <w:tcPr>
            <w:tcW w:w="1525" w:type="pct"/>
            <w:vAlign w:val="center"/>
          </w:tcPr>
          <w:p w:rsidR="00AC20F9" w:rsidRPr="00A024C7" w:rsidRDefault="00AC20F9" w:rsidP="00AC20F9">
            <w:pPr>
              <w:pStyle w:val="Legenda"/>
              <w:jc w:val="both"/>
              <w:rPr>
                <w:rFonts w:cs="Arial"/>
                <w:color w:val="000000" w:themeColor="text1"/>
                <w:sz w:val="22"/>
                <w:szCs w:val="22"/>
              </w:rPr>
            </w:pPr>
            <w:r w:rsidRPr="00A024C7">
              <w:rPr>
                <w:rFonts w:cs="Arial"/>
                <w:color w:val="000000" w:themeColor="text1"/>
                <w:sz w:val="22"/>
                <w:szCs w:val="22"/>
              </w:rPr>
              <w:t>Área de Concessão: Bloco cuja projeção superficial é delimitada pelo polígono definido no Anexo I deste Contrato ou as parcelas do Bloco que permaneçam sob Contrato.</w:t>
            </w:r>
          </w:p>
        </w:tc>
        <w:tc>
          <w:tcPr>
            <w:tcW w:w="1945" w:type="pct"/>
            <w:vAlign w:val="center"/>
          </w:tcPr>
          <w:p w:rsidR="00AC20F9" w:rsidRPr="00A024C7" w:rsidRDefault="00AC20F9" w:rsidP="008B1682">
            <w:pPr>
              <w:pStyle w:val="Legenda"/>
              <w:jc w:val="both"/>
              <w:rPr>
                <w:rFonts w:cs="Arial"/>
                <w:color w:val="000000" w:themeColor="text1"/>
                <w:sz w:val="22"/>
                <w:szCs w:val="22"/>
              </w:rPr>
            </w:pPr>
            <w:r w:rsidRPr="00A024C7">
              <w:rPr>
                <w:rFonts w:cs="Arial"/>
                <w:color w:val="000000" w:themeColor="text1"/>
                <w:sz w:val="22"/>
                <w:szCs w:val="22"/>
              </w:rPr>
              <w:t>Não há</w:t>
            </w:r>
            <w:r>
              <w:rPr>
                <w:rFonts w:cs="Arial"/>
                <w:color w:val="000000" w:themeColor="text1"/>
                <w:sz w:val="22"/>
                <w:szCs w:val="22"/>
              </w:rPr>
              <w:t xml:space="preserve"> marcos para </w:t>
            </w:r>
            <w:r w:rsidRPr="00A024C7">
              <w:rPr>
                <w:rFonts w:cs="Arial"/>
                <w:color w:val="000000" w:themeColor="text1"/>
                <w:sz w:val="22"/>
                <w:szCs w:val="22"/>
              </w:rPr>
              <w:t>devoluções</w:t>
            </w:r>
            <w:r>
              <w:rPr>
                <w:rFonts w:cs="Arial"/>
                <w:color w:val="000000" w:themeColor="text1"/>
                <w:sz w:val="22"/>
                <w:szCs w:val="22"/>
              </w:rPr>
              <w:t xml:space="preserve"> parciais</w:t>
            </w:r>
            <w:r w:rsidRPr="00A024C7">
              <w:rPr>
                <w:rFonts w:cs="Arial"/>
                <w:color w:val="000000" w:themeColor="text1"/>
                <w:sz w:val="22"/>
                <w:szCs w:val="22"/>
              </w:rPr>
              <w:t xml:space="preserve"> previst</w:t>
            </w:r>
            <w:r>
              <w:rPr>
                <w:rFonts w:cs="Arial"/>
                <w:color w:val="000000" w:themeColor="text1"/>
                <w:sz w:val="22"/>
                <w:szCs w:val="22"/>
              </w:rPr>
              <w:t>o</w:t>
            </w:r>
            <w:r w:rsidRPr="00A024C7">
              <w:rPr>
                <w:rFonts w:cs="Arial"/>
                <w:color w:val="000000" w:themeColor="text1"/>
                <w:sz w:val="22"/>
                <w:szCs w:val="22"/>
              </w:rPr>
              <w:t>s nes</w:t>
            </w:r>
            <w:r w:rsidR="007F1877">
              <w:rPr>
                <w:rFonts w:cs="Arial"/>
                <w:color w:val="000000" w:themeColor="text1"/>
                <w:sz w:val="22"/>
                <w:szCs w:val="22"/>
              </w:rPr>
              <w:t>t</w:t>
            </w:r>
            <w:r w:rsidRPr="00A024C7">
              <w:rPr>
                <w:rFonts w:cs="Arial"/>
                <w:color w:val="000000" w:themeColor="text1"/>
                <w:sz w:val="22"/>
                <w:szCs w:val="22"/>
              </w:rPr>
              <w:t>e contrato.</w:t>
            </w:r>
          </w:p>
        </w:tc>
      </w:tr>
      <w:tr w:rsidR="003C547C" w:rsidRPr="00697392" w:rsidTr="00C8239C">
        <w:trPr>
          <w:trHeight w:val="2268"/>
        </w:trPr>
        <w:tc>
          <w:tcPr>
            <w:tcW w:w="551" w:type="pct"/>
            <w:vAlign w:val="center"/>
          </w:tcPr>
          <w:p w:rsidR="003C547C" w:rsidRDefault="003C547C" w:rsidP="003C547C">
            <w:pPr>
              <w:pStyle w:val="Legenda"/>
              <w:jc w:val="center"/>
              <w:rPr>
                <w:rFonts w:cs="Arial"/>
                <w:color w:val="000000" w:themeColor="text1"/>
                <w:sz w:val="22"/>
                <w:szCs w:val="22"/>
              </w:rPr>
            </w:pPr>
            <w:r>
              <w:rPr>
                <w:rFonts w:cs="Arial"/>
                <w:color w:val="000000" w:themeColor="text1"/>
                <w:sz w:val="22"/>
                <w:szCs w:val="22"/>
              </w:rPr>
              <w:t>Minuta do Contrato de Concessão</w:t>
            </w:r>
          </w:p>
        </w:tc>
        <w:tc>
          <w:tcPr>
            <w:tcW w:w="616" w:type="pct"/>
            <w:vAlign w:val="center"/>
          </w:tcPr>
          <w:p w:rsidR="003C547C" w:rsidRPr="00A024C7" w:rsidRDefault="003C547C" w:rsidP="003C547C">
            <w:pPr>
              <w:pStyle w:val="Legenda"/>
              <w:jc w:val="center"/>
              <w:rPr>
                <w:rFonts w:cs="Arial"/>
                <w:color w:val="000000" w:themeColor="text1"/>
                <w:sz w:val="22"/>
                <w:szCs w:val="22"/>
              </w:rPr>
            </w:pPr>
            <w:r w:rsidRPr="00A024C7">
              <w:rPr>
                <w:rFonts w:cs="Arial"/>
                <w:color w:val="000000" w:themeColor="text1"/>
                <w:sz w:val="22"/>
                <w:szCs w:val="22"/>
              </w:rPr>
              <w:t>Alteração</w:t>
            </w:r>
          </w:p>
        </w:tc>
        <w:tc>
          <w:tcPr>
            <w:tcW w:w="363" w:type="pct"/>
            <w:vAlign w:val="center"/>
          </w:tcPr>
          <w:p w:rsidR="003C547C" w:rsidRPr="00A024C7" w:rsidRDefault="003C547C" w:rsidP="003C547C">
            <w:pPr>
              <w:pStyle w:val="Legenda"/>
              <w:jc w:val="center"/>
              <w:rPr>
                <w:rFonts w:cs="Arial"/>
                <w:color w:val="000000" w:themeColor="text1"/>
                <w:sz w:val="22"/>
                <w:szCs w:val="22"/>
              </w:rPr>
            </w:pPr>
            <w:r w:rsidRPr="00A024C7">
              <w:rPr>
                <w:rFonts w:cs="Arial"/>
                <w:color w:val="000000" w:themeColor="text1"/>
                <w:sz w:val="22"/>
                <w:szCs w:val="22"/>
              </w:rPr>
              <w:t>1.2.7</w:t>
            </w:r>
          </w:p>
        </w:tc>
        <w:tc>
          <w:tcPr>
            <w:tcW w:w="1525" w:type="pct"/>
            <w:vAlign w:val="center"/>
          </w:tcPr>
          <w:p w:rsidR="003C547C" w:rsidRPr="0026083C" w:rsidRDefault="003C547C" w:rsidP="003C547C">
            <w:pPr>
              <w:pStyle w:val="Legenda"/>
              <w:jc w:val="both"/>
              <w:rPr>
                <w:rFonts w:cs="Arial"/>
                <w:color w:val="000000" w:themeColor="text1"/>
                <w:sz w:val="22"/>
                <w:szCs w:val="22"/>
              </w:rPr>
            </w:pPr>
            <w:r w:rsidRPr="00A024C7">
              <w:rPr>
                <w:rFonts w:cs="Arial"/>
                <w:color w:val="000000" w:themeColor="text1"/>
                <w:sz w:val="22"/>
                <w:szCs w:val="22"/>
              </w:rPr>
              <w:t>Cessão: transferência, total ou parcial, da titularidade de direitos e obrigações decorrentes do Contrato; a fusão, cisão e incorporação, quando a reorganização societária resultar em mudança do Contratado</w:t>
            </w:r>
            <w:r>
              <w:rPr>
                <w:rFonts w:cs="Arial"/>
                <w:color w:val="000000" w:themeColor="text1"/>
                <w:sz w:val="22"/>
                <w:szCs w:val="22"/>
              </w:rPr>
              <w:t>.</w:t>
            </w:r>
          </w:p>
        </w:tc>
        <w:tc>
          <w:tcPr>
            <w:tcW w:w="1945" w:type="pct"/>
            <w:vAlign w:val="center"/>
          </w:tcPr>
          <w:p w:rsidR="003C547C" w:rsidRPr="00365A2A" w:rsidRDefault="003C547C" w:rsidP="008B1682">
            <w:pPr>
              <w:pStyle w:val="Legenda"/>
              <w:jc w:val="both"/>
              <w:rPr>
                <w:rFonts w:cs="Arial"/>
                <w:color w:val="000000"/>
                <w:sz w:val="22"/>
                <w:szCs w:val="22"/>
                <w:lang w:eastAsia="en-US"/>
              </w:rPr>
            </w:pPr>
            <w:r w:rsidRPr="003C547C">
              <w:rPr>
                <w:rFonts w:cs="Arial"/>
                <w:color w:val="000000"/>
                <w:sz w:val="22"/>
                <w:szCs w:val="22"/>
                <w:lang w:eastAsia="en-US"/>
              </w:rPr>
              <w:t>A mera modificação do Operador, sem a alteração das participações indivisas, não deveria ser considerada como Cessão. Desse modo, vislumbra-se a simplificação e desburocratização do processo (</w:t>
            </w:r>
            <w:proofErr w:type="spellStart"/>
            <w:r w:rsidRPr="003C547C">
              <w:rPr>
                <w:rFonts w:cs="Arial"/>
                <w:color w:val="000000"/>
                <w:sz w:val="22"/>
                <w:szCs w:val="22"/>
                <w:lang w:eastAsia="en-US"/>
              </w:rPr>
              <w:t>ex</w:t>
            </w:r>
            <w:proofErr w:type="spellEnd"/>
            <w:r w:rsidRPr="003C547C">
              <w:rPr>
                <w:rFonts w:cs="Arial"/>
                <w:color w:val="000000"/>
                <w:sz w:val="22"/>
                <w:szCs w:val="22"/>
                <w:lang w:eastAsia="en-US"/>
              </w:rPr>
              <w:t>: necessidade de submissão ao CADE).</w:t>
            </w:r>
          </w:p>
        </w:tc>
      </w:tr>
      <w:tr w:rsidR="009C4AB4" w:rsidRPr="00697392" w:rsidTr="00C8239C">
        <w:trPr>
          <w:trHeight w:val="2268"/>
        </w:trPr>
        <w:tc>
          <w:tcPr>
            <w:tcW w:w="551" w:type="pct"/>
            <w:vAlign w:val="center"/>
          </w:tcPr>
          <w:p w:rsidR="009C4AB4" w:rsidRDefault="009C4AB4" w:rsidP="00274EA0">
            <w:pPr>
              <w:pStyle w:val="Legenda"/>
              <w:jc w:val="center"/>
              <w:rPr>
                <w:rFonts w:cs="Arial"/>
                <w:color w:val="000000" w:themeColor="text1"/>
                <w:sz w:val="22"/>
                <w:szCs w:val="22"/>
              </w:rPr>
            </w:pPr>
            <w:r>
              <w:rPr>
                <w:rFonts w:cs="Arial"/>
                <w:color w:val="000000" w:themeColor="text1"/>
                <w:sz w:val="22"/>
                <w:szCs w:val="22"/>
              </w:rPr>
              <w:t>Minuta do Contrato de Concessão</w:t>
            </w:r>
          </w:p>
        </w:tc>
        <w:tc>
          <w:tcPr>
            <w:tcW w:w="616" w:type="pct"/>
            <w:vAlign w:val="center"/>
          </w:tcPr>
          <w:p w:rsidR="009C4AB4" w:rsidRPr="00A024C7" w:rsidRDefault="009C4AB4" w:rsidP="00274EA0">
            <w:pPr>
              <w:pStyle w:val="Legenda"/>
              <w:jc w:val="center"/>
              <w:rPr>
                <w:rFonts w:cs="Arial"/>
                <w:color w:val="000000" w:themeColor="text1"/>
                <w:sz w:val="22"/>
                <w:szCs w:val="22"/>
              </w:rPr>
            </w:pPr>
            <w:r>
              <w:rPr>
                <w:rFonts w:cs="Arial"/>
                <w:color w:val="000000" w:themeColor="text1"/>
                <w:sz w:val="22"/>
                <w:szCs w:val="22"/>
              </w:rPr>
              <w:t>Inclusão</w:t>
            </w:r>
          </w:p>
        </w:tc>
        <w:tc>
          <w:tcPr>
            <w:tcW w:w="363" w:type="pct"/>
            <w:vAlign w:val="center"/>
          </w:tcPr>
          <w:p w:rsidR="009C4AB4" w:rsidRPr="00A024C7" w:rsidRDefault="009C4AB4" w:rsidP="00274EA0">
            <w:pPr>
              <w:pStyle w:val="Legenda"/>
              <w:jc w:val="center"/>
              <w:rPr>
                <w:rFonts w:cs="Arial"/>
                <w:color w:val="000000" w:themeColor="text1"/>
                <w:sz w:val="22"/>
                <w:szCs w:val="22"/>
              </w:rPr>
            </w:pPr>
            <w:r>
              <w:rPr>
                <w:rFonts w:cs="Arial"/>
                <w:color w:val="000000" w:themeColor="text1"/>
                <w:sz w:val="22"/>
                <w:szCs w:val="22"/>
              </w:rPr>
              <w:t>1.2.14</w:t>
            </w:r>
          </w:p>
        </w:tc>
        <w:tc>
          <w:tcPr>
            <w:tcW w:w="1525" w:type="pct"/>
            <w:vAlign w:val="center"/>
          </w:tcPr>
          <w:p w:rsidR="009C4AB4" w:rsidRPr="00A024C7" w:rsidRDefault="009C4AB4" w:rsidP="009C4AB4">
            <w:pPr>
              <w:pStyle w:val="Legenda"/>
              <w:jc w:val="both"/>
              <w:rPr>
                <w:rFonts w:cs="Arial"/>
                <w:color w:val="000000" w:themeColor="text1"/>
                <w:sz w:val="22"/>
                <w:szCs w:val="22"/>
              </w:rPr>
            </w:pPr>
            <w:r w:rsidRPr="009C4AB4">
              <w:rPr>
                <w:rFonts w:cs="Arial"/>
                <w:color w:val="000000" w:themeColor="text1"/>
                <w:sz w:val="22"/>
                <w:szCs w:val="22"/>
              </w:rPr>
              <w:t>Despesas Qualificadas como Pesquisa, Desenvolvimento e Inovação: despesas com atividades de Pesquisa, Desenvolvimento e Inovação que tenham como objeto promover o desenvolvimento do setor de Petróleo, Gás Natural e Biocombustíveis, podendo incluir despesas que a critério da ANP possam contribuir para fomentar atividades nas fases de Exploração e Produção com informações que viabilizem o desenvolvim</w:t>
            </w:r>
            <w:r>
              <w:rPr>
                <w:rFonts w:cs="Arial"/>
                <w:color w:val="000000" w:themeColor="text1"/>
                <w:sz w:val="22"/>
                <w:szCs w:val="22"/>
              </w:rPr>
              <w:t>ento do potencial dessas fases.</w:t>
            </w:r>
          </w:p>
        </w:tc>
        <w:tc>
          <w:tcPr>
            <w:tcW w:w="1945" w:type="pct"/>
            <w:vAlign w:val="center"/>
          </w:tcPr>
          <w:p w:rsidR="009C4AB4" w:rsidRPr="00365A2A" w:rsidRDefault="009C4AB4" w:rsidP="008B1682">
            <w:pPr>
              <w:pStyle w:val="Legenda"/>
              <w:jc w:val="both"/>
              <w:rPr>
                <w:rFonts w:cs="Arial"/>
                <w:color w:val="000000"/>
                <w:sz w:val="22"/>
                <w:szCs w:val="22"/>
                <w:lang w:eastAsia="en-US"/>
              </w:rPr>
            </w:pPr>
            <w:r w:rsidRPr="009C4AB4">
              <w:rPr>
                <w:rFonts w:cs="Arial"/>
                <w:color w:val="000000" w:themeColor="text1"/>
                <w:sz w:val="22"/>
                <w:szCs w:val="22"/>
              </w:rPr>
              <w:t>Entendemos que, em vista do excesso de recurso que se verifica seria interessante ampliar o escopo de aplicação.</w:t>
            </w:r>
          </w:p>
        </w:tc>
      </w:tr>
      <w:tr w:rsidR="00274EA0" w:rsidRPr="00697392" w:rsidTr="00C8239C">
        <w:trPr>
          <w:trHeight w:val="2268"/>
        </w:trPr>
        <w:tc>
          <w:tcPr>
            <w:tcW w:w="551" w:type="pct"/>
            <w:vAlign w:val="center"/>
          </w:tcPr>
          <w:p w:rsidR="00274EA0" w:rsidRDefault="00274EA0" w:rsidP="00274EA0">
            <w:pPr>
              <w:pStyle w:val="Legenda"/>
              <w:jc w:val="center"/>
              <w:rPr>
                <w:rFonts w:cs="Arial"/>
                <w:color w:val="000000" w:themeColor="text1"/>
                <w:sz w:val="22"/>
                <w:szCs w:val="22"/>
              </w:rPr>
            </w:pPr>
            <w:r>
              <w:rPr>
                <w:rFonts w:cs="Arial"/>
                <w:color w:val="000000" w:themeColor="text1"/>
                <w:sz w:val="22"/>
                <w:szCs w:val="22"/>
              </w:rPr>
              <w:lastRenderedPageBreak/>
              <w:t>Minuta do Contrato de Concessão</w:t>
            </w:r>
          </w:p>
        </w:tc>
        <w:tc>
          <w:tcPr>
            <w:tcW w:w="616" w:type="pct"/>
            <w:vAlign w:val="center"/>
          </w:tcPr>
          <w:p w:rsidR="00274EA0" w:rsidRPr="00A024C7" w:rsidRDefault="00274EA0" w:rsidP="00274EA0">
            <w:pPr>
              <w:pStyle w:val="Legenda"/>
              <w:jc w:val="center"/>
              <w:rPr>
                <w:rFonts w:cs="Arial"/>
                <w:color w:val="000000" w:themeColor="text1"/>
                <w:sz w:val="22"/>
                <w:szCs w:val="22"/>
              </w:rPr>
            </w:pPr>
            <w:r w:rsidRPr="00A024C7">
              <w:rPr>
                <w:rFonts w:cs="Arial"/>
                <w:color w:val="000000" w:themeColor="text1"/>
                <w:sz w:val="22"/>
                <w:szCs w:val="22"/>
              </w:rPr>
              <w:t>Alteração</w:t>
            </w:r>
          </w:p>
        </w:tc>
        <w:tc>
          <w:tcPr>
            <w:tcW w:w="363" w:type="pct"/>
            <w:vAlign w:val="center"/>
          </w:tcPr>
          <w:p w:rsidR="00274EA0" w:rsidRPr="00A024C7" w:rsidRDefault="00274EA0" w:rsidP="00274EA0">
            <w:pPr>
              <w:pStyle w:val="Legenda"/>
              <w:jc w:val="center"/>
              <w:rPr>
                <w:rFonts w:cs="Arial"/>
                <w:color w:val="000000" w:themeColor="text1"/>
                <w:sz w:val="22"/>
                <w:szCs w:val="22"/>
              </w:rPr>
            </w:pPr>
            <w:r w:rsidRPr="00A024C7">
              <w:rPr>
                <w:rFonts w:cs="Arial"/>
                <w:color w:val="000000" w:themeColor="text1"/>
                <w:sz w:val="22"/>
                <w:szCs w:val="22"/>
              </w:rPr>
              <w:t>1.2.41</w:t>
            </w:r>
          </w:p>
        </w:tc>
        <w:tc>
          <w:tcPr>
            <w:tcW w:w="1525" w:type="pct"/>
            <w:vAlign w:val="center"/>
          </w:tcPr>
          <w:p w:rsidR="00274EA0" w:rsidRPr="00A024C7" w:rsidRDefault="00274EA0" w:rsidP="00274EA0">
            <w:pPr>
              <w:pStyle w:val="Legenda"/>
              <w:jc w:val="both"/>
              <w:rPr>
                <w:rFonts w:cs="Arial"/>
                <w:color w:val="000000" w:themeColor="text1"/>
                <w:sz w:val="22"/>
                <w:szCs w:val="22"/>
              </w:rPr>
            </w:pPr>
            <w:r w:rsidRPr="00A024C7">
              <w:rPr>
                <w:rFonts w:cs="Arial"/>
                <w:color w:val="000000" w:themeColor="text1"/>
                <w:sz w:val="22"/>
                <w:szCs w:val="22"/>
              </w:rPr>
              <w:t>Relatório de Gastos Trimestrais: documento a ser entregue pelo Concessionário à ANP em que são detalhados os valores despendidos nas Operações de Exploração, Desenvolvimento e Produção.</w:t>
            </w:r>
          </w:p>
        </w:tc>
        <w:tc>
          <w:tcPr>
            <w:tcW w:w="1945" w:type="pct"/>
            <w:vAlign w:val="center"/>
          </w:tcPr>
          <w:p w:rsidR="00274EA0" w:rsidRPr="00A024C7" w:rsidRDefault="00274EA0" w:rsidP="008B1682">
            <w:pPr>
              <w:pStyle w:val="Legenda"/>
              <w:jc w:val="both"/>
              <w:rPr>
                <w:rFonts w:cs="Arial"/>
                <w:color w:val="000000" w:themeColor="text1"/>
                <w:sz w:val="22"/>
                <w:szCs w:val="22"/>
              </w:rPr>
            </w:pPr>
            <w:r w:rsidRPr="00A024C7">
              <w:rPr>
                <w:rFonts w:cs="Arial"/>
                <w:color w:val="000000" w:themeColor="text1"/>
                <w:sz w:val="22"/>
                <w:szCs w:val="22"/>
              </w:rPr>
              <w:t>A utilização do termo no Contrato trata de entrega trimestral do documento. As regulamentações existentes tratam de RGT. O DAPE utiliza algumas linhas do RGT.</w:t>
            </w:r>
          </w:p>
        </w:tc>
      </w:tr>
      <w:tr w:rsidR="008F5E5F" w:rsidRPr="00697392" w:rsidTr="00C8239C">
        <w:trPr>
          <w:trHeight w:val="2268"/>
        </w:trPr>
        <w:tc>
          <w:tcPr>
            <w:tcW w:w="551" w:type="pct"/>
            <w:vAlign w:val="center"/>
          </w:tcPr>
          <w:p w:rsidR="008F5E5F" w:rsidRDefault="008F5E5F" w:rsidP="008F5E5F">
            <w:pPr>
              <w:pStyle w:val="Legenda"/>
              <w:jc w:val="center"/>
              <w:rPr>
                <w:rFonts w:cs="Arial"/>
                <w:color w:val="000000" w:themeColor="text1"/>
                <w:sz w:val="22"/>
                <w:szCs w:val="22"/>
              </w:rPr>
            </w:pPr>
            <w:r>
              <w:rPr>
                <w:rFonts w:cs="Arial"/>
                <w:color w:val="000000" w:themeColor="text1"/>
                <w:sz w:val="22"/>
                <w:szCs w:val="22"/>
              </w:rPr>
              <w:t>Minuta do Contrato de Concessão</w:t>
            </w:r>
          </w:p>
        </w:tc>
        <w:tc>
          <w:tcPr>
            <w:tcW w:w="616" w:type="pct"/>
            <w:vAlign w:val="center"/>
          </w:tcPr>
          <w:p w:rsidR="008F5E5F" w:rsidRPr="00A024C7" w:rsidRDefault="008F5E5F" w:rsidP="008F5E5F">
            <w:pPr>
              <w:pStyle w:val="Legenda"/>
              <w:jc w:val="center"/>
              <w:rPr>
                <w:rFonts w:cs="Arial"/>
                <w:color w:val="000000" w:themeColor="text1"/>
                <w:sz w:val="22"/>
                <w:szCs w:val="22"/>
              </w:rPr>
            </w:pPr>
            <w:r>
              <w:rPr>
                <w:rFonts w:cs="Arial"/>
                <w:color w:val="000000" w:themeColor="text1"/>
                <w:sz w:val="22"/>
                <w:szCs w:val="22"/>
              </w:rPr>
              <w:t>Alteração</w:t>
            </w:r>
          </w:p>
        </w:tc>
        <w:tc>
          <w:tcPr>
            <w:tcW w:w="363" w:type="pct"/>
            <w:vAlign w:val="center"/>
          </w:tcPr>
          <w:p w:rsidR="008F5E5F" w:rsidRPr="00A024C7" w:rsidRDefault="008F5E5F" w:rsidP="008F5E5F">
            <w:pPr>
              <w:pStyle w:val="Legenda"/>
              <w:jc w:val="center"/>
              <w:rPr>
                <w:rFonts w:cs="Arial"/>
                <w:color w:val="000000" w:themeColor="text1"/>
                <w:sz w:val="22"/>
                <w:szCs w:val="22"/>
              </w:rPr>
            </w:pPr>
            <w:r>
              <w:rPr>
                <w:rFonts w:cs="Arial"/>
                <w:color w:val="000000" w:themeColor="text1"/>
                <w:sz w:val="22"/>
                <w:szCs w:val="22"/>
              </w:rPr>
              <w:t>1.2.47</w:t>
            </w:r>
          </w:p>
        </w:tc>
        <w:tc>
          <w:tcPr>
            <w:tcW w:w="1525" w:type="pct"/>
            <w:vAlign w:val="center"/>
          </w:tcPr>
          <w:p w:rsidR="008F5E5F" w:rsidRPr="00A024C7" w:rsidRDefault="008F5E5F" w:rsidP="008F5E5F">
            <w:pPr>
              <w:pStyle w:val="Legenda"/>
              <w:jc w:val="both"/>
              <w:rPr>
                <w:rFonts w:cs="Arial"/>
                <w:color w:val="000000" w:themeColor="text1"/>
                <w:sz w:val="22"/>
                <w:szCs w:val="22"/>
              </w:rPr>
            </w:pPr>
            <w:r w:rsidRPr="00A024C7">
              <w:rPr>
                <w:rFonts w:cs="Arial"/>
                <w:color w:val="000000" w:themeColor="text1"/>
                <w:sz w:val="22"/>
                <w:szCs w:val="22"/>
              </w:rPr>
              <w:t>Teste de Longa Duração: teste em poço revestido com duração total prevista de fluxo contínuo superior a 72 (setenta e duas) horas, e com objetivos específicos visando a avaliar uma descoberta, a fim de se obter, a partir da interpretação de seus dados, informações que indiquem o comportamento dos Reservatórios sob efeitos dinâmicos de longo prazo e subsidiem estudos com vistas ao projeto de sistemas definitivos de produção.</w:t>
            </w:r>
          </w:p>
        </w:tc>
        <w:tc>
          <w:tcPr>
            <w:tcW w:w="1945" w:type="pct"/>
            <w:vAlign w:val="center"/>
          </w:tcPr>
          <w:p w:rsidR="008F5E5F" w:rsidRPr="00365A2A" w:rsidRDefault="008F5E5F" w:rsidP="008B1682">
            <w:pPr>
              <w:pStyle w:val="Legenda"/>
              <w:jc w:val="both"/>
              <w:rPr>
                <w:rFonts w:cs="Arial"/>
                <w:color w:val="000000"/>
                <w:sz w:val="22"/>
                <w:szCs w:val="22"/>
                <w:lang w:eastAsia="en-US"/>
              </w:rPr>
            </w:pPr>
            <w:r>
              <w:rPr>
                <w:rFonts w:cs="Arial"/>
                <w:color w:val="000000"/>
                <w:sz w:val="22"/>
                <w:szCs w:val="22"/>
                <w:lang w:eastAsia="en-US"/>
              </w:rPr>
              <w:t>Esclarecimento.</w:t>
            </w:r>
          </w:p>
        </w:tc>
      </w:tr>
      <w:tr w:rsidR="007455B4" w:rsidRPr="00697392" w:rsidTr="00C8239C">
        <w:trPr>
          <w:trHeight w:val="2268"/>
        </w:trPr>
        <w:tc>
          <w:tcPr>
            <w:tcW w:w="551" w:type="pct"/>
            <w:vAlign w:val="center"/>
          </w:tcPr>
          <w:p w:rsidR="007455B4" w:rsidRDefault="007455B4" w:rsidP="007455B4">
            <w:pPr>
              <w:pStyle w:val="Legenda"/>
              <w:jc w:val="center"/>
              <w:rPr>
                <w:rFonts w:cs="Arial"/>
                <w:color w:val="000000" w:themeColor="text1"/>
                <w:sz w:val="22"/>
                <w:szCs w:val="22"/>
              </w:rPr>
            </w:pPr>
            <w:r>
              <w:rPr>
                <w:rFonts w:cs="Arial"/>
                <w:color w:val="000000" w:themeColor="text1"/>
                <w:sz w:val="22"/>
                <w:szCs w:val="22"/>
              </w:rPr>
              <w:t>Minuta do Contrato de Concessão</w:t>
            </w:r>
          </w:p>
        </w:tc>
        <w:tc>
          <w:tcPr>
            <w:tcW w:w="616" w:type="pct"/>
            <w:vAlign w:val="center"/>
          </w:tcPr>
          <w:p w:rsidR="007455B4" w:rsidRDefault="007455B4" w:rsidP="007455B4">
            <w:pPr>
              <w:pStyle w:val="Legenda"/>
              <w:jc w:val="center"/>
              <w:rPr>
                <w:rFonts w:cs="Arial"/>
                <w:color w:val="000000" w:themeColor="text1"/>
                <w:sz w:val="22"/>
                <w:szCs w:val="22"/>
              </w:rPr>
            </w:pPr>
            <w:r>
              <w:rPr>
                <w:rFonts w:cs="Arial"/>
                <w:color w:val="000000" w:themeColor="text1"/>
                <w:sz w:val="22"/>
                <w:szCs w:val="22"/>
              </w:rPr>
              <w:t>Alteração</w:t>
            </w:r>
          </w:p>
        </w:tc>
        <w:tc>
          <w:tcPr>
            <w:tcW w:w="363" w:type="pct"/>
            <w:vAlign w:val="center"/>
          </w:tcPr>
          <w:p w:rsidR="007455B4" w:rsidRPr="00A024C7" w:rsidRDefault="007455B4" w:rsidP="007455B4">
            <w:pPr>
              <w:pStyle w:val="Legenda"/>
              <w:jc w:val="center"/>
              <w:rPr>
                <w:rFonts w:cs="Arial"/>
                <w:color w:val="000000" w:themeColor="text1"/>
                <w:sz w:val="22"/>
                <w:szCs w:val="22"/>
              </w:rPr>
            </w:pPr>
            <w:r w:rsidRPr="00A024C7">
              <w:rPr>
                <w:rFonts w:cs="Arial"/>
                <w:color w:val="000000" w:themeColor="text1"/>
                <w:sz w:val="22"/>
                <w:szCs w:val="22"/>
              </w:rPr>
              <w:t>2.8.1</w:t>
            </w:r>
          </w:p>
        </w:tc>
        <w:tc>
          <w:tcPr>
            <w:tcW w:w="1525" w:type="pct"/>
            <w:vAlign w:val="center"/>
          </w:tcPr>
          <w:p w:rsidR="007455B4" w:rsidRPr="00A024C7" w:rsidRDefault="007455B4" w:rsidP="007455B4">
            <w:pPr>
              <w:pStyle w:val="Legenda"/>
              <w:jc w:val="both"/>
              <w:rPr>
                <w:rFonts w:cs="Arial"/>
                <w:color w:val="000000" w:themeColor="text1"/>
                <w:sz w:val="22"/>
                <w:szCs w:val="22"/>
              </w:rPr>
            </w:pPr>
            <w:r w:rsidRPr="00A024C7">
              <w:rPr>
                <w:rFonts w:cs="Arial"/>
                <w:color w:val="000000" w:themeColor="text1"/>
                <w:sz w:val="22"/>
                <w:szCs w:val="22"/>
              </w:rPr>
              <w:t>O encontro fortuito de outros recursos naturais que não Petróleo e Gás Natural deverá ser notificado à ANP no prazo máximo de 72 (setenta e duas) horas.</w:t>
            </w:r>
          </w:p>
        </w:tc>
        <w:tc>
          <w:tcPr>
            <w:tcW w:w="1945" w:type="pct"/>
            <w:vAlign w:val="center"/>
          </w:tcPr>
          <w:p w:rsidR="007455B4" w:rsidRPr="00A024C7" w:rsidRDefault="007455B4" w:rsidP="008B1682">
            <w:pPr>
              <w:pStyle w:val="Legenda"/>
              <w:jc w:val="both"/>
              <w:rPr>
                <w:rFonts w:cs="Arial"/>
                <w:color w:val="000000" w:themeColor="text1"/>
                <w:sz w:val="22"/>
                <w:szCs w:val="22"/>
              </w:rPr>
            </w:pPr>
            <w:r w:rsidRPr="00A024C7">
              <w:rPr>
                <w:rFonts w:cs="Arial"/>
                <w:color w:val="000000" w:themeColor="text1"/>
                <w:sz w:val="22"/>
                <w:szCs w:val="22"/>
              </w:rPr>
              <w:t>Ajuste de redação.</w:t>
            </w:r>
          </w:p>
        </w:tc>
      </w:tr>
      <w:tr w:rsidR="0009256E" w:rsidRPr="00697392" w:rsidTr="00C8239C">
        <w:trPr>
          <w:trHeight w:val="2268"/>
        </w:trPr>
        <w:tc>
          <w:tcPr>
            <w:tcW w:w="551" w:type="pct"/>
            <w:vAlign w:val="center"/>
          </w:tcPr>
          <w:p w:rsidR="0009256E" w:rsidRDefault="0009256E" w:rsidP="0009256E">
            <w:pPr>
              <w:pStyle w:val="Legenda"/>
              <w:jc w:val="center"/>
              <w:rPr>
                <w:rFonts w:cs="Arial"/>
                <w:color w:val="000000" w:themeColor="text1"/>
                <w:sz w:val="22"/>
                <w:szCs w:val="22"/>
              </w:rPr>
            </w:pPr>
            <w:r>
              <w:rPr>
                <w:rFonts w:cs="Arial"/>
                <w:color w:val="000000" w:themeColor="text1"/>
                <w:sz w:val="22"/>
                <w:szCs w:val="22"/>
              </w:rPr>
              <w:lastRenderedPageBreak/>
              <w:t>Minuta do Contrato de Concessão</w:t>
            </w:r>
          </w:p>
        </w:tc>
        <w:tc>
          <w:tcPr>
            <w:tcW w:w="616" w:type="pct"/>
            <w:vAlign w:val="center"/>
          </w:tcPr>
          <w:p w:rsidR="0009256E" w:rsidRPr="00A024C7" w:rsidRDefault="0009256E" w:rsidP="0009256E">
            <w:pPr>
              <w:pStyle w:val="Legenda"/>
              <w:jc w:val="center"/>
              <w:rPr>
                <w:rFonts w:cs="Arial"/>
                <w:color w:val="000000" w:themeColor="text1"/>
                <w:sz w:val="22"/>
                <w:szCs w:val="22"/>
              </w:rPr>
            </w:pPr>
            <w:r w:rsidRPr="00A024C7">
              <w:rPr>
                <w:rFonts w:cs="Arial"/>
                <w:color w:val="000000" w:themeColor="text1"/>
                <w:sz w:val="22"/>
                <w:szCs w:val="22"/>
              </w:rPr>
              <w:t>Alteração</w:t>
            </w:r>
          </w:p>
        </w:tc>
        <w:tc>
          <w:tcPr>
            <w:tcW w:w="363" w:type="pct"/>
            <w:vAlign w:val="center"/>
          </w:tcPr>
          <w:p w:rsidR="0009256E" w:rsidRPr="00A024C7" w:rsidRDefault="0009256E" w:rsidP="0009256E">
            <w:pPr>
              <w:pStyle w:val="Legenda"/>
              <w:jc w:val="center"/>
              <w:rPr>
                <w:rFonts w:cs="Arial"/>
                <w:color w:val="000000" w:themeColor="text1"/>
                <w:sz w:val="22"/>
                <w:szCs w:val="22"/>
              </w:rPr>
            </w:pPr>
            <w:r w:rsidRPr="00A024C7">
              <w:rPr>
                <w:rFonts w:cs="Arial"/>
                <w:color w:val="000000" w:themeColor="text1"/>
                <w:sz w:val="22"/>
                <w:szCs w:val="22"/>
              </w:rPr>
              <w:t>4.1.1</w:t>
            </w:r>
          </w:p>
        </w:tc>
        <w:tc>
          <w:tcPr>
            <w:tcW w:w="1525" w:type="pct"/>
            <w:vAlign w:val="center"/>
          </w:tcPr>
          <w:p w:rsidR="0009256E" w:rsidRPr="00A024C7" w:rsidRDefault="0009256E" w:rsidP="0009256E">
            <w:pPr>
              <w:pStyle w:val="Legenda"/>
              <w:jc w:val="both"/>
              <w:rPr>
                <w:rFonts w:cs="Arial"/>
                <w:color w:val="000000" w:themeColor="text1"/>
                <w:sz w:val="22"/>
                <w:szCs w:val="22"/>
              </w:rPr>
            </w:pPr>
            <w:r w:rsidRPr="00A024C7">
              <w:rPr>
                <w:rFonts w:cs="Arial"/>
                <w:color w:val="000000" w:themeColor="text1"/>
                <w:sz w:val="22"/>
                <w:szCs w:val="22"/>
              </w:rPr>
              <w:t>Fase de Exploração, para toda a Área de Concessão, com duração prevista no Anexo II – Programa Exploratório Mínimo, e</w:t>
            </w:r>
          </w:p>
        </w:tc>
        <w:tc>
          <w:tcPr>
            <w:tcW w:w="1945" w:type="pct"/>
            <w:vAlign w:val="center"/>
          </w:tcPr>
          <w:p w:rsidR="0009256E" w:rsidRPr="00A024C7" w:rsidRDefault="0009256E" w:rsidP="008B1682">
            <w:pPr>
              <w:pStyle w:val="Legenda"/>
              <w:jc w:val="both"/>
              <w:rPr>
                <w:rFonts w:cs="Arial"/>
                <w:color w:val="000000" w:themeColor="text1"/>
                <w:sz w:val="22"/>
                <w:szCs w:val="22"/>
              </w:rPr>
            </w:pPr>
            <w:r w:rsidRPr="00A024C7">
              <w:rPr>
                <w:rFonts w:cs="Arial"/>
                <w:color w:val="000000" w:themeColor="text1"/>
                <w:sz w:val="22"/>
                <w:szCs w:val="22"/>
              </w:rPr>
              <w:t>O termo “máxima” limitaria a possibilidade de prorrogação da Fase, como no caso de uma Avaliação de Descoberta.</w:t>
            </w:r>
          </w:p>
        </w:tc>
      </w:tr>
      <w:tr w:rsidR="0009256E" w:rsidRPr="00697392" w:rsidTr="00C8239C">
        <w:trPr>
          <w:trHeight w:val="2268"/>
        </w:trPr>
        <w:tc>
          <w:tcPr>
            <w:tcW w:w="551" w:type="pct"/>
            <w:vAlign w:val="center"/>
          </w:tcPr>
          <w:p w:rsidR="0009256E" w:rsidRDefault="0009256E" w:rsidP="0009256E">
            <w:pPr>
              <w:pStyle w:val="Legenda"/>
              <w:jc w:val="center"/>
              <w:rPr>
                <w:rFonts w:cs="Arial"/>
                <w:color w:val="000000" w:themeColor="text1"/>
                <w:sz w:val="22"/>
                <w:szCs w:val="22"/>
              </w:rPr>
            </w:pPr>
            <w:r>
              <w:rPr>
                <w:rFonts w:cs="Arial"/>
                <w:color w:val="000000" w:themeColor="text1"/>
                <w:sz w:val="22"/>
                <w:szCs w:val="22"/>
              </w:rPr>
              <w:t>Minuta do Contrato de Concessão</w:t>
            </w:r>
          </w:p>
        </w:tc>
        <w:tc>
          <w:tcPr>
            <w:tcW w:w="616" w:type="pct"/>
            <w:vAlign w:val="center"/>
          </w:tcPr>
          <w:p w:rsidR="0009256E" w:rsidRDefault="0009256E" w:rsidP="0009256E">
            <w:pPr>
              <w:pStyle w:val="Legenda"/>
              <w:jc w:val="center"/>
              <w:rPr>
                <w:rFonts w:cs="Arial"/>
                <w:color w:val="000000" w:themeColor="text1"/>
                <w:sz w:val="22"/>
                <w:szCs w:val="22"/>
              </w:rPr>
            </w:pPr>
            <w:r>
              <w:rPr>
                <w:rFonts w:cs="Arial"/>
                <w:color w:val="000000" w:themeColor="text1"/>
                <w:sz w:val="22"/>
                <w:szCs w:val="22"/>
              </w:rPr>
              <w:t>Alteração</w:t>
            </w:r>
          </w:p>
        </w:tc>
        <w:tc>
          <w:tcPr>
            <w:tcW w:w="363" w:type="pct"/>
            <w:vAlign w:val="center"/>
          </w:tcPr>
          <w:p w:rsidR="0009256E" w:rsidRDefault="007E6EF9" w:rsidP="0009256E">
            <w:pPr>
              <w:pStyle w:val="Legenda"/>
              <w:jc w:val="center"/>
              <w:rPr>
                <w:rFonts w:cs="Arial"/>
                <w:color w:val="000000" w:themeColor="text1"/>
                <w:sz w:val="22"/>
                <w:szCs w:val="22"/>
              </w:rPr>
            </w:pPr>
            <w:proofErr w:type="gramStart"/>
            <w:r>
              <w:rPr>
                <w:rFonts w:cs="Arial"/>
                <w:color w:val="000000" w:themeColor="text1"/>
                <w:sz w:val="22"/>
                <w:szCs w:val="22"/>
              </w:rPr>
              <w:t>5.6.2</w:t>
            </w:r>
            <w:r>
              <w:rPr>
                <w:rFonts w:cs="Arial"/>
                <w:color w:val="000000" w:themeColor="text1"/>
                <w:sz w:val="22"/>
                <w:szCs w:val="22"/>
              </w:rPr>
              <w:br/>
            </w:r>
            <w:r w:rsidR="0009256E">
              <w:rPr>
                <w:rFonts w:cs="Arial"/>
                <w:color w:val="000000" w:themeColor="text1"/>
                <w:sz w:val="22"/>
                <w:szCs w:val="22"/>
              </w:rPr>
              <w:t>alínea</w:t>
            </w:r>
            <w:proofErr w:type="gramEnd"/>
            <w:r w:rsidR="0009256E">
              <w:rPr>
                <w:rFonts w:cs="Arial"/>
                <w:color w:val="000000" w:themeColor="text1"/>
                <w:sz w:val="22"/>
                <w:szCs w:val="22"/>
              </w:rPr>
              <w:t xml:space="preserve"> a</w:t>
            </w:r>
          </w:p>
        </w:tc>
        <w:tc>
          <w:tcPr>
            <w:tcW w:w="1525" w:type="pct"/>
            <w:vAlign w:val="center"/>
          </w:tcPr>
          <w:p w:rsidR="0009256E" w:rsidRPr="0026083C" w:rsidRDefault="0009256E" w:rsidP="0009256E">
            <w:pPr>
              <w:pStyle w:val="Legenda"/>
              <w:jc w:val="both"/>
              <w:rPr>
                <w:rFonts w:cs="Arial"/>
                <w:color w:val="000000" w:themeColor="text1"/>
                <w:sz w:val="22"/>
                <w:szCs w:val="22"/>
              </w:rPr>
            </w:pPr>
            <w:r>
              <w:rPr>
                <w:rFonts w:cs="Arial"/>
                <w:color w:val="000000" w:themeColor="text1"/>
                <w:sz w:val="22"/>
                <w:szCs w:val="22"/>
              </w:rPr>
              <w:t xml:space="preserve">a) o </w:t>
            </w:r>
            <w:r w:rsidRPr="0009256E">
              <w:rPr>
                <w:rFonts w:cs="Arial"/>
                <w:color w:val="000000" w:themeColor="text1"/>
                <w:sz w:val="22"/>
                <w:szCs w:val="22"/>
              </w:rPr>
              <w:t>dado sísmico reprocessado deverá estar contido dentro da Área de Concessão, podendo, a critério da ANP, serem considerados dados reprocessados de áreas exteriores não contratadas adjacentes à área concedida, mediante justificativa técnica</w:t>
            </w:r>
          </w:p>
        </w:tc>
        <w:tc>
          <w:tcPr>
            <w:tcW w:w="1945" w:type="pct"/>
            <w:vAlign w:val="center"/>
          </w:tcPr>
          <w:p w:rsidR="0009256E" w:rsidRPr="00365A2A" w:rsidRDefault="0009256E" w:rsidP="008B1682">
            <w:pPr>
              <w:pStyle w:val="Legenda"/>
              <w:jc w:val="both"/>
              <w:rPr>
                <w:rFonts w:cs="Arial"/>
                <w:color w:val="000000"/>
                <w:sz w:val="22"/>
                <w:szCs w:val="22"/>
                <w:lang w:eastAsia="en-US"/>
              </w:rPr>
            </w:pPr>
            <w:r w:rsidRPr="001B103F">
              <w:rPr>
                <w:rFonts w:cs="Arial"/>
                <w:color w:val="000000" w:themeColor="text1"/>
                <w:sz w:val="22"/>
                <w:szCs w:val="22"/>
              </w:rPr>
              <w:t xml:space="preserve">Para o </w:t>
            </w:r>
            <w:proofErr w:type="spellStart"/>
            <w:r w:rsidRPr="001B103F">
              <w:rPr>
                <w:rFonts w:cs="Arial"/>
                <w:color w:val="000000" w:themeColor="text1"/>
                <w:sz w:val="22"/>
                <w:szCs w:val="22"/>
              </w:rPr>
              <w:t>imageamento</w:t>
            </w:r>
            <w:proofErr w:type="spellEnd"/>
            <w:r w:rsidRPr="001B103F">
              <w:rPr>
                <w:rFonts w:cs="Arial"/>
                <w:color w:val="000000" w:themeColor="text1"/>
                <w:sz w:val="22"/>
                <w:szCs w:val="22"/>
              </w:rPr>
              <w:t xml:space="preserve"> do bloco em sub superfície, em sua totalidade e com qualidade, é necessário uma área adicional fora dos limites do bloco, cujas dimensões depende da profundidade e inclinação dos objetivos geológicos.</w:t>
            </w:r>
          </w:p>
        </w:tc>
      </w:tr>
      <w:tr w:rsidR="0009256E" w:rsidRPr="00697392" w:rsidTr="00C8239C">
        <w:trPr>
          <w:trHeight w:val="2268"/>
        </w:trPr>
        <w:tc>
          <w:tcPr>
            <w:tcW w:w="551" w:type="pct"/>
            <w:vAlign w:val="center"/>
          </w:tcPr>
          <w:p w:rsidR="0009256E" w:rsidRDefault="0009256E" w:rsidP="0009256E">
            <w:pPr>
              <w:pStyle w:val="Legenda"/>
              <w:jc w:val="center"/>
              <w:rPr>
                <w:rFonts w:cs="Arial"/>
                <w:color w:val="000000" w:themeColor="text1"/>
                <w:sz w:val="22"/>
                <w:szCs w:val="22"/>
              </w:rPr>
            </w:pPr>
            <w:r>
              <w:rPr>
                <w:rFonts w:cs="Arial"/>
                <w:color w:val="000000" w:themeColor="text1"/>
                <w:sz w:val="22"/>
                <w:szCs w:val="22"/>
              </w:rPr>
              <w:t>Minuta do Contrato de Concessão</w:t>
            </w:r>
          </w:p>
        </w:tc>
        <w:tc>
          <w:tcPr>
            <w:tcW w:w="616" w:type="pct"/>
            <w:vAlign w:val="center"/>
          </w:tcPr>
          <w:p w:rsidR="0009256E" w:rsidRDefault="00C93DCB" w:rsidP="0009256E">
            <w:pPr>
              <w:pStyle w:val="Legenda"/>
              <w:jc w:val="center"/>
              <w:rPr>
                <w:rFonts w:cs="Arial"/>
                <w:color w:val="000000" w:themeColor="text1"/>
                <w:sz w:val="22"/>
                <w:szCs w:val="22"/>
              </w:rPr>
            </w:pPr>
            <w:r>
              <w:rPr>
                <w:rFonts w:cs="Arial"/>
                <w:color w:val="000000" w:themeColor="text1"/>
                <w:sz w:val="22"/>
                <w:szCs w:val="22"/>
              </w:rPr>
              <w:t>Alteração</w:t>
            </w:r>
          </w:p>
        </w:tc>
        <w:tc>
          <w:tcPr>
            <w:tcW w:w="363" w:type="pct"/>
            <w:vAlign w:val="center"/>
          </w:tcPr>
          <w:p w:rsidR="0009256E" w:rsidRDefault="00C93DCB" w:rsidP="0009256E">
            <w:pPr>
              <w:pStyle w:val="Legenda"/>
              <w:jc w:val="center"/>
              <w:rPr>
                <w:rFonts w:cs="Arial"/>
                <w:color w:val="000000" w:themeColor="text1"/>
                <w:sz w:val="22"/>
                <w:szCs w:val="22"/>
              </w:rPr>
            </w:pPr>
            <w:r>
              <w:rPr>
                <w:rFonts w:cs="Arial"/>
                <w:color w:val="000000" w:themeColor="text1"/>
                <w:sz w:val="22"/>
                <w:szCs w:val="22"/>
              </w:rPr>
              <w:t>5.9</w:t>
            </w:r>
          </w:p>
        </w:tc>
        <w:tc>
          <w:tcPr>
            <w:tcW w:w="1525" w:type="pct"/>
            <w:vAlign w:val="center"/>
          </w:tcPr>
          <w:p w:rsidR="0009256E" w:rsidRPr="0026083C" w:rsidRDefault="00C93DCB" w:rsidP="00C93DCB">
            <w:pPr>
              <w:pStyle w:val="Legenda"/>
              <w:jc w:val="both"/>
              <w:rPr>
                <w:rFonts w:cs="Arial"/>
                <w:color w:val="000000" w:themeColor="text1"/>
                <w:sz w:val="22"/>
                <w:szCs w:val="22"/>
              </w:rPr>
            </w:pPr>
            <w:r w:rsidRPr="00C93DCB">
              <w:rPr>
                <w:rFonts w:cs="Arial"/>
                <w:color w:val="000000" w:themeColor="text1"/>
                <w:sz w:val="22"/>
                <w:szCs w:val="22"/>
              </w:rPr>
              <w:t xml:space="preserve">Para fins de cumprimento do Programa Exploratório Mínimo, somente serão convertidos em Unidades de Trabalho os dados cuja aquisição, processamento, reprocessamento e </w:t>
            </w:r>
            <w:r>
              <w:rPr>
                <w:rFonts w:cs="Arial"/>
                <w:color w:val="000000" w:themeColor="text1"/>
                <w:sz w:val="22"/>
                <w:szCs w:val="22"/>
              </w:rPr>
              <w:t>forma</w:t>
            </w:r>
            <w:r w:rsidRPr="00C93DCB">
              <w:rPr>
                <w:rFonts w:cs="Arial"/>
                <w:color w:val="000000" w:themeColor="text1"/>
                <w:sz w:val="22"/>
                <w:szCs w:val="22"/>
              </w:rPr>
              <w:t>tação tenham atendido a todos os requisitos definidos nas normas regulatórias e nos padrões técnicos estabelecidos pela Agência.</w:t>
            </w:r>
          </w:p>
        </w:tc>
        <w:tc>
          <w:tcPr>
            <w:tcW w:w="1945" w:type="pct"/>
            <w:vAlign w:val="center"/>
          </w:tcPr>
          <w:p w:rsidR="0009256E" w:rsidRPr="00365A2A" w:rsidRDefault="00C93DCB" w:rsidP="008B1682">
            <w:pPr>
              <w:pStyle w:val="Legenda"/>
              <w:jc w:val="both"/>
              <w:rPr>
                <w:rFonts w:cs="Arial"/>
                <w:color w:val="000000"/>
                <w:sz w:val="22"/>
                <w:szCs w:val="22"/>
                <w:lang w:eastAsia="en-US"/>
              </w:rPr>
            </w:pPr>
            <w:r>
              <w:rPr>
                <w:rFonts w:cs="Arial"/>
                <w:color w:val="000000"/>
                <w:sz w:val="22"/>
                <w:szCs w:val="22"/>
                <w:lang w:eastAsia="en-US"/>
              </w:rPr>
              <w:t>Não há requisitos relativos à interpretação dos dados. A interpretação leva em conta a experiência dos técnicos e o conhecimento da empresa.</w:t>
            </w:r>
          </w:p>
        </w:tc>
      </w:tr>
      <w:tr w:rsidR="0009256E" w:rsidRPr="00697392" w:rsidTr="00C8239C">
        <w:trPr>
          <w:trHeight w:val="2268"/>
        </w:trPr>
        <w:tc>
          <w:tcPr>
            <w:tcW w:w="551" w:type="pct"/>
            <w:vAlign w:val="center"/>
          </w:tcPr>
          <w:p w:rsidR="0009256E" w:rsidRDefault="0009256E" w:rsidP="0009256E">
            <w:pPr>
              <w:pStyle w:val="Legenda"/>
              <w:jc w:val="center"/>
              <w:rPr>
                <w:rFonts w:cs="Arial"/>
                <w:color w:val="000000" w:themeColor="text1"/>
                <w:sz w:val="22"/>
                <w:szCs w:val="22"/>
              </w:rPr>
            </w:pPr>
            <w:r>
              <w:rPr>
                <w:rFonts w:cs="Arial"/>
                <w:color w:val="000000" w:themeColor="text1"/>
                <w:sz w:val="22"/>
                <w:szCs w:val="22"/>
              </w:rPr>
              <w:lastRenderedPageBreak/>
              <w:t>Minuta do Contrato de Concessão</w:t>
            </w:r>
          </w:p>
        </w:tc>
        <w:tc>
          <w:tcPr>
            <w:tcW w:w="616" w:type="pct"/>
            <w:vAlign w:val="center"/>
          </w:tcPr>
          <w:p w:rsidR="0009256E" w:rsidRDefault="007E6EF9" w:rsidP="0009256E">
            <w:pPr>
              <w:pStyle w:val="Legenda"/>
              <w:jc w:val="center"/>
              <w:rPr>
                <w:rFonts w:cs="Arial"/>
                <w:color w:val="000000" w:themeColor="text1"/>
                <w:sz w:val="22"/>
                <w:szCs w:val="22"/>
              </w:rPr>
            </w:pPr>
            <w:r>
              <w:rPr>
                <w:rFonts w:cs="Arial"/>
                <w:color w:val="000000" w:themeColor="text1"/>
                <w:sz w:val="22"/>
                <w:szCs w:val="22"/>
              </w:rPr>
              <w:t>Alteração</w:t>
            </w:r>
          </w:p>
        </w:tc>
        <w:tc>
          <w:tcPr>
            <w:tcW w:w="363" w:type="pct"/>
            <w:vAlign w:val="center"/>
          </w:tcPr>
          <w:p w:rsidR="0009256E" w:rsidRDefault="007E6EF9" w:rsidP="0009256E">
            <w:pPr>
              <w:pStyle w:val="Legenda"/>
              <w:jc w:val="center"/>
              <w:rPr>
                <w:rFonts w:cs="Arial"/>
                <w:color w:val="000000" w:themeColor="text1"/>
                <w:sz w:val="22"/>
                <w:szCs w:val="22"/>
              </w:rPr>
            </w:pPr>
            <w:r>
              <w:rPr>
                <w:rFonts w:cs="Arial"/>
                <w:color w:val="000000" w:themeColor="text1"/>
                <w:sz w:val="22"/>
                <w:szCs w:val="22"/>
              </w:rPr>
              <w:t>5.17.1</w:t>
            </w:r>
          </w:p>
        </w:tc>
        <w:tc>
          <w:tcPr>
            <w:tcW w:w="1525" w:type="pct"/>
            <w:vAlign w:val="center"/>
          </w:tcPr>
          <w:p w:rsidR="0009256E" w:rsidRPr="0026083C" w:rsidRDefault="007E6EF9" w:rsidP="007E6EF9">
            <w:pPr>
              <w:pStyle w:val="Legenda"/>
              <w:jc w:val="both"/>
              <w:rPr>
                <w:rFonts w:cs="Arial"/>
                <w:color w:val="000000" w:themeColor="text1"/>
                <w:sz w:val="22"/>
                <w:szCs w:val="22"/>
              </w:rPr>
            </w:pPr>
            <w:r w:rsidRPr="007E6EF9">
              <w:rPr>
                <w:rFonts w:cs="Arial"/>
                <w:color w:val="000000" w:themeColor="text1"/>
                <w:sz w:val="22"/>
                <w:szCs w:val="22"/>
              </w:rPr>
              <w:t>Os valores das atividades do Programa Exploratório Mínimo não executadas estão definidos em Unidades de Trabalho e são líquidas, podendo ser exigidos do concessionário ou do garantidor, sempre corrigidos monetariamente</w:t>
            </w:r>
            <w:r>
              <w:rPr>
                <w:rFonts w:cs="Arial"/>
                <w:color w:val="000000" w:themeColor="text1"/>
                <w:sz w:val="22"/>
                <w:szCs w:val="22"/>
              </w:rPr>
              <w:t xml:space="preserve"> anualmente</w:t>
            </w:r>
            <w:r w:rsidRPr="007E6EF9">
              <w:rPr>
                <w:rFonts w:cs="Arial"/>
                <w:color w:val="000000" w:themeColor="text1"/>
                <w:sz w:val="22"/>
                <w:szCs w:val="22"/>
              </w:rPr>
              <w:t xml:space="preserve"> pelo IGP-M </w:t>
            </w:r>
            <w:r>
              <w:rPr>
                <w:rFonts w:cs="Arial"/>
                <w:color w:val="000000" w:themeColor="text1"/>
                <w:sz w:val="22"/>
                <w:szCs w:val="22"/>
              </w:rPr>
              <w:t>a partir da</w:t>
            </w:r>
            <w:r w:rsidRPr="007E6EF9">
              <w:rPr>
                <w:rFonts w:cs="Arial"/>
                <w:color w:val="000000" w:themeColor="text1"/>
                <w:sz w:val="22"/>
                <w:szCs w:val="22"/>
              </w:rPr>
              <w:t xml:space="preserve"> data da sessão pública de apresentação de ofertas.</w:t>
            </w:r>
          </w:p>
        </w:tc>
        <w:tc>
          <w:tcPr>
            <w:tcW w:w="1945" w:type="pct"/>
            <w:vAlign w:val="center"/>
          </w:tcPr>
          <w:p w:rsidR="0009256E" w:rsidRPr="00365A2A" w:rsidRDefault="007E6EF9" w:rsidP="008B1682">
            <w:pPr>
              <w:pStyle w:val="Legenda"/>
              <w:jc w:val="both"/>
              <w:rPr>
                <w:rFonts w:cs="Arial"/>
                <w:color w:val="000000"/>
                <w:sz w:val="22"/>
                <w:szCs w:val="22"/>
                <w:lang w:eastAsia="en-US"/>
              </w:rPr>
            </w:pPr>
            <w:r>
              <w:rPr>
                <w:rFonts w:cs="Arial"/>
                <w:color w:val="000000" w:themeColor="text1"/>
                <w:sz w:val="22"/>
                <w:szCs w:val="22"/>
              </w:rPr>
              <w:t>A Lei do Plano Real (9.069/94) não permite reajuste com período menor do que um ano.</w:t>
            </w:r>
          </w:p>
        </w:tc>
      </w:tr>
      <w:tr w:rsidR="0009256E" w:rsidRPr="00697392" w:rsidTr="00C8239C">
        <w:trPr>
          <w:trHeight w:val="2268"/>
        </w:trPr>
        <w:tc>
          <w:tcPr>
            <w:tcW w:w="551" w:type="pct"/>
            <w:vAlign w:val="center"/>
          </w:tcPr>
          <w:p w:rsidR="0009256E" w:rsidRDefault="0009256E" w:rsidP="0009256E">
            <w:pPr>
              <w:pStyle w:val="Legenda"/>
              <w:jc w:val="center"/>
              <w:rPr>
                <w:rFonts w:cs="Arial"/>
                <w:color w:val="000000" w:themeColor="text1"/>
                <w:sz w:val="22"/>
                <w:szCs w:val="22"/>
              </w:rPr>
            </w:pPr>
            <w:r>
              <w:rPr>
                <w:rFonts w:cs="Arial"/>
                <w:color w:val="000000" w:themeColor="text1"/>
                <w:sz w:val="22"/>
                <w:szCs w:val="22"/>
              </w:rPr>
              <w:t>Minuta do Contrato de Concessão</w:t>
            </w:r>
          </w:p>
        </w:tc>
        <w:tc>
          <w:tcPr>
            <w:tcW w:w="616" w:type="pct"/>
            <w:vAlign w:val="center"/>
          </w:tcPr>
          <w:p w:rsidR="0009256E" w:rsidRDefault="00404818" w:rsidP="0009256E">
            <w:pPr>
              <w:pStyle w:val="Legenda"/>
              <w:jc w:val="center"/>
              <w:rPr>
                <w:rFonts w:cs="Arial"/>
                <w:color w:val="000000" w:themeColor="text1"/>
                <w:sz w:val="22"/>
                <w:szCs w:val="22"/>
              </w:rPr>
            </w:pPr>
            <w:r>
              <w:rPr>
                <w:rFonts w:cs="Arial"/>
                <w:color w:val="000000" w:themeColor="text1"/>
                <w:sz w:val="22"/>
                <w:szCs w:val="22"/>
              </w:rPr>
              <w:t>Alteração</w:t>
            </w:r>
          </w:p>
        </w:tc>
        <w:tc>
          <w:tcPr>
            <w:tcW w:w="363" w:type="pct"/>
            <w:vAlign w:val="center"/>
          </w:tcPr>
          <w:p w:rsidR="0009256E" w:rsidRDefault="00404818" w:rsidP="0009256E">
            <w:pPr>
              <w:pStyle w:val="Legenda"/>
              <w:jc w:val="center"/>
              <w:rPr>
                <w:rFonts w:cs="Arial"/>
                <w:color w:val="000000" w:themeColor="text1"/>
                <w:sz w:val="22"/>
                <w:szCs w:val="22"/>
              </w:rPr>
            </w:pPr>
            <w:r>
              <w:rPr>
                <w:rFonts w:cs="Arial"/>
                <w:color w:val="000000" w:themeColor="text1"/>
                <w:sz w:val="22"/>
                <w:szCs w:val="22"/>
              </w:rPr>
              <w:t>6.10</w:t>
            </w:r>
          </w:p>
        </w:tc>
        <w:tc>
          <w:tcPr>
            <w:tcW w:w="1525" w:type="pct"/>
            <w:vAlign w:val="center"/>
          </w:tcPr>
          <w:p w:rsidR="0009256E" w:rsidRPr="0026083C" w:rsidRDefault="00404818" w:rsidP="00404818">
            <w:pPr>
              <w:pStyle w:val="Legenda"/>
              <w:jc w:val="both"/>
              <w:rPr>
                <w:rFonts w:cs="Arial"/>
                <w:color w:val="000000" w:themeColor="text1"/>
                <w:sz w:val="22"/>
                <w:szCs w:val="22"/>
              </w:rPr>
            </w:pPr>
            <w:r w:rsidRPr="00404818">
              <w:rPr>
                <w:rFonts w:cs="Arial"/>
                <w:color w:val="000000" w:themeColor="text1"/>
                <w:sz w:val="22"/>
                <w:szCs w:val="22"/>
              </w:rPr>
              <w:t>O valor monetário previsto do Programa Exploratórios Mínimo objeto dos instrumentos de garantia apresentados pelo Concessionário à ANP será reajustado</w:t>
            </w:r>
            <w:r>
              <w:rPr>
                <w:rFonts w:cs="Arial"/>
                <w:color w:val="000000" w:themeColor="text1"/>
                <w:sz w:val="22"/>
                <w:szCs w:val="22"/>
              </w:rPr>
              <w:t xml:space="preserve"> anualmente</w:t>
            </w:r>
            <w:r w:rsidRPr="00404818">
              <w:rPr>
                <w:rFonts w:cs="Arial"/>
                <w:color w:val="000000" w:themeColor="text1"/>
                <w:sz w:val="22"/>
                <w:szCs w:val="22"/>
              </w:rPr>
              <w:t xml:space="preserve"> pelo IGP-M </w:t>
            </w:r>
            <w:r>
              <w:rPr>
                <w:rFonts w:cs="Arial"/>
                <w:color w:val="000000" w:themeColor="text1"/>
                <w:sz w:val="22"/>
                <w:szCs w:val="22"/>
              </w:rPr>
              <w:t>a partir da</w:t>
            </w:r>
            <w:r w:rsidRPr="00404818">
              <w:rPr>
                <w:rFonts w:cs="Arial"/>
                <w:color w:val="000000" w:themeColor="text1"/>
                <w:sz w:val="22"/>
                <w:szCs w:val="22"/>
              </w:rPr>
              <w:t xml:space="preserve"> data da sessão pública de apresentação de ofertas.</w:t>
            </w:r>
          </w:p>
        </w:tc>
        <w:tc>
          <w:tcPr>
            <w:tcW w:w="1945" w:type="pct"/>
            <w:vAlign w:val="center"/>
          </w:tcPr>
          <w:p w:rsidR="0009256E" w:rsidRPr="00365A2A" w:rsidRDefault="00404818" w:rsidP="008B1682">
            <w:pPr>
              <w:pStyle w:val="Legenda"/>
              <w:jc w:val="both"/>
              <w:rPr>
                <w:rFonts w:cs="Arial"/>
                <w:color w:val="000000"/>
                <w:sz w:val="22"/>
                <w:szCs w:val="22"/>
                <w:lang w:eastAsia="en-US"/>
              </w:rPr>
            </w:pPr>
            <w:r>
              <w:rPr>
                <w:rFonts w:cs="Arial"/>
                <w:color w:val="000000" w:themeColor="text1"/>
                <w:sz w:val="22"/>
                <w:szCs w:val="22"/>
              </w:rPr>
              <w:t>A Lei do Plano Real (9.069/94) não permite reajuste com período menor do que um ano</w:t>
            </w:r>
          </w:p>
        </w:tc>
      </w:tr>
      <w:tr w:rsidR="0009256E" w:rsidRPr="00697392" w:rsidTr="00C8239C">
        <w:trPr>
          <w:trHeight w:val="2268"/>
        </w:trPr>
        <w:tc>
          <w:tcPr>
            <w:tcW w:w="551" w:type="pct"/>
            <w:vAlign w:val="center"/>
          </w:tcPr>
          <w:p w:rsidR="0009256E" w:rsidRDefault="0009256E" w:rsidP="0009256E">
            <w:pPr>
              <w:pStyle w:val="Legenda"/>
              <w:jc w:val="center"/>
              <w:rPr>
                <w:rFonts w:cs="Arial"/>
                <w:color w:val="000000" w:themeColor="text1"/>
                <w:sz w:val="22"/>
                <w:szCs w:val="22"/>
              </w:rPr>
            </w:pPr>
            <w:r>
              <w:rPr>
                <w:rFonts w:cs="Arial"/>
                <w:color w:val="000000" w:themeColor="text1"/>
                <w:sz w:val="22"/>
                <w:szCs w:val="22"/>
              </w:rPr>
              <w:t>Minuta do Contrato de Concessão</w:t>
            </w:r>
          </w:p>
        </w:tc>
        <w:tc>
          <w:tcPr>
            <w:tcW w:w="616" w:type="pct"/>
            <w:vAlign w:val="center"/>
          </w:tcPr>
          <w:p w:rsidR="0009256E" w:rsidRDefault="00792E70" w:rsidP="0009256E">
            <w:pPr>
              <w:pStyle w:val="Legenda"/>
              <w:jc w:val="center"/>
              <w:rPr>
                <w:rFonts w:cs="Arial"/>
                <w:color w:val="000000" w:themeColor="text1"/>
                <w:sz w:val="22"/>
                <w:szCs w:val="22"/>
              </w:rPr>
            </w:pPr>
            <w:r>
              <w:rPr>
                <w:rFonts w:cs="Arial"/>
                <w:color w:val="000000" w:themeColor="text1"/>
                <w:sz w:val="22"/>
                <w:szCs w:val="22"/>
              </w:rPr>
              <w:t>Inclusão</w:t>
            </w:r>
          </w:p>
        </w:tc>
        <w:tc>
          <w:tcPr>
            <w:tcW w:w="363" w:type="pct"/>
            <w:vAlign w:val="center"/>
          </w:tcPr>
          <w:p w:rsidR="0009256E" w:rsidRDefault="00792E70" w:rsidP="0009256E">
            <w:pPr>
              <w:pStyle w:val="Legenda"/>
              <w:jc w:val="center"/>
              <w:rPr>
                <w:rFonts w:cs="Arial"/>
                <w:color w:val="000000" w:themeColor="text1"/>
                <w:sz w:val="22"/>
                <w:szCs w:val="22"/>
              </w:rPr>
            </w:pPr>
            <w:proofErr w:type="gramStart"/>
            <w:r>
              <w:rPr>
                <w:rFonts w:cs="Arial"/>
                <w:color w:val="000000" w:themeColor="text1"/>
                <w:sz w:val="22"/>
                <w:szCs w:val="22"/>
              </w:rPr>
              <w:t>8.5</w:t>
            </w:r>
            <w:r>
              <w:rPr>
                <w:rFonts w:cs="Arial"/>
                <w:color w:val="000000" w:themeColor="text1"/>
                <w:sz w:val="22"/>
                <w:szCs w:val="22"/>
              </w:rPr>
              <w:br/>
              <w:t>alínea</w:t>
            </w:r>
            <w:proofErr w:type="gramEnd"/>
            <w:r>
              <w:rPr>
                <w:rFonts w:cs="Arial"/>
                <w:color w:val="000000" w:themeColor="text1"/>
                <w:sz w:val="22"/>
                <w:szCs w:val="22"/>
              </w:rPr>
              <w:t xml:space="preserve"> c</w:t>
            </w:r>
          </w:p>
        </w:tc>
        <w:tc>
          <w:tcPr>
            <w:tcW w:w="1525" w:type="pct"/>
            <w:vAlign w:val="center"/>
          </w:tcPr>
          <w:p w:rsidR="0009256E" w:rsidRPr="0026083C" w:rsidRDefault="00792E70" w:rsidP="00792E70">
            <w:pPr>
              <w:pStyle w:val="Legenda"/>
              <w:jc w:val="both"/>
              <w:rPr>
                <w:rFonts w:cs="Arial"/>
                <w:color w:val="000000" w:themeColor="text1"/>
                <w:sz w:val="22"/>
                <w:szCs w:val="22"/>
              </w:rPr>
            </w:pPr>
            <w:r>
              <w:rPr>
                <w:rFonts w:cs="Arial"/>
                <w:color w:val="000000" w:themeColor="text1"/>
                <w:sz w:val="22"/>
                <w:szCs w:val="22"/>
              </w:rPr>
              <w:t xml:space="preserve">c) </w:t>
            </w:r>
            <w:r w:rsidRPr="00792E70">
              <w:rPr>
                <w:rFonts w:cs="Arial"/>
                <w:color w:val="000000" w:themeColor="text1"/>
                <w:sz w:val="22"/>
                <w:szCs w:val="22"/>
              </w:rPr>
              <w:t>Caso em que h</w:t>
            </w:r>
            <w:r>
              <w:rPr>
                <w:rFonts w:cs="Arial"/>
                <w:color w:val="000000" w:themeColor="text1"/>
                <w:sz w:val="22"/>
                <w:szCs w:val="22"/>
              </w:rPr>
              <w:t>aja</w:t>
            </w:r>
            <w:r w:rsidR="007D7C90">
              <w:rPr>
                <w:rFonts w:cs="Arial"/>
                <w:color w:val="000000" w:themeColor="text1"/>
                <w:sz w:val="22"/>
                <w:szCs w:val="22"/>
              </w:rPr>
              <w:t xml:space="preserve"> possibilidade de</w:t>
            </w:r>
            <w:r w:rsidRPr="00792E70">
              <w:rPr>
                <w:rFonts w:cs="Arial"/>
                <w:color w:val="000000" w:themeColor="text1"/>
                <w:sz w:val="22"/>
                <w:szCs w:val="22"/>
              </w:rPr>
              <w:t xml:space="preserve"> extensão de Descoberta para além da Área sob Contrato.</w:t>
            </w:r>
          </w:p>
        </w:tc>
        <w:tc>
          <w:tcPr>
            <w:tcW w:w="1945" w:type="pct"/>
            <w:vAlign w:val="center"/>
          </w:tcPr>
          <w:p w:rsidR="0009256E" w:rsidRPr="00365A2A" w:rsidRDefault="00792E70" w:rsidP="008B1682">
            <w:pPr>
              <w:pStyle w:val="Legenda"/>
              <w:jc w:val="both"/>
              <w:rPr>
                <w:rFonts w:cs="Arial"/>
                <w:color w:val="000000"/>
                <w:sz w:val="22"/>
                <w:szCs w:val="22"/>
                <w:lang w:eastAsia="en-US"/>
              </w:rPr>
            </w:pPr>
            <w:r>
              <w:rPr>
                <w:rFonts w:cs="Arial"/>
                <w:color w:val="000000"/>
                <w:sz w:val="22"/>
                <w:szCs w:val="22"/>
                <w:lang w:eastAsia="en-US"/>
              </w:rPr>
              <w:t xml:space="preserve">Permitir que o </w:t>
            </w:r>
            <w:r w:rsidR="007D7C90">
              <w:rPr>
                <w:rFonts w:cs="Arial"/>
                <w:color w:val="000000"/>
                <w:sz w:val="22"/>
                <w:szCs w:val="22"/>
                <w:lang w:eastAsia="en-US"/>
              </w:rPr>
              <w:t>Concessionário possa avaliar melhor a possibilidade de extensão da Descoberta, para a adequada delimitação da acumulação e verificação da necessidade ou não de um processo de Individualização da Produção.</w:t>
            </w:r>
          </w:p>
        </w:tc>
      </w:tr>
      <w:tr w:rsidR="0009256E" w:rsidRPr="00697392" w:rsidTr="00C8239C">
        <w:trPr>
          <w:trHeight w:val="2268"/>
        </w:trPr>
        <w:tc>
          <w:tcPr>
            <w:tcW w:w="551" w:type="pct"/>
            <w:vAlign w:val="center"/>
          </w:tcPr>
          <w:p w:rsidR="0009256E" w:rsidRDefault="0009256E" w:rsidP="0009256E">
            <w:pPr>
              <w:pStyle w:val="Legenda"/>
              <w:jc w:val="center"/>
              <w:rPr>
                <w:rFonts w:cs="Arial"/>
                <w:color w:val="000000" w:themeColor="text1"/>
                <w:sz w:val="22"/>
                <w:szCs w:val="22"/>
              </w:rPr>
            </w:pPr>
            <w:r>
              <w:rPr>
                <w:rFonts w:cs="Arial"/>
                <w:color w:val="000000" w:themeColor="text1"/>
                <w:sz w:val="22"/>
                <w:szCs w:val="22"/>
              </w:rPr>
              <w:lastRenderedPageBreak/>
              <w:t>Minuta do Contrato de Concessão</w:t>
            </w:r>
          </w:p>
        </w:tc>
        <w:tc>
          <w:tcPr>
            <w:tcW w:w="616" w:type="pct"/>
            <w:vAlign w:val="center"/>
          </w:tcPr>
          <w:p w:rsidR="0009256E" w:rsidRDefault="00AA3122" w:rsidP="0009256E">
            <w:pPr>
              <w:pStyle w:val="Legenda"/>
              <w:jc w:val="center"/>
              <w:rPr>
                <w:rFonts w:cs="Arial"/>
                <w:color w:val="000000" w:themeColor="text1"/>
                <w:sz w:val="22"/>
                <w:szCs w:val="22"/>
              </w:rPr>
            </w:pPr>
            <w:r>
              <w:rPr>
                <w:rFonts w:cs="Arial"/>
                <w:color w:val="000000" w:themeColor="text1"/>
                <w:sz w:val="22"/>
                <w:szCs w:val="22"/>
              </w:rPr>
              <w:t>Alteração</w:t>
            </w:r>
          </w:p>
        </w:tc>
        <w:tc>
          <w:tcPr>
            <w:tcW w:w="363" w:type="pct"/>
            <w:vAlign w:val="center"/>
          </w:tcPr>
          <w:p w:rsidR="0009256E" w:rsidRDefault="00AA3122" w:rsidP="0009256E">
            <w:pPr>
              <w:pStyle w:val="Legenda"/>
              <w:jc w:val="center"/>
              <w:rPr>
                <w:rFonts w:cs="Arial"/>
                <w:color w:val="000000" w:themeColor="text1"/>
                <w:sz w:val="22"/>
                <w:szCs w:val="22"/>
              </w:rPr>
            </w:pPr>
            <w:r>
              <w:rPr>
                <w:rFonts w:cs="Arial"/>
                <w:color w:val="000000" w:themeColor="text1"/>
                <w:sz w:val="22"/>
                <w:szCs w:val="22"/>
              </w:rPr>
              <w:t>9.4.1</w:t>
            </w:r>
          </w:p>
        </w:tc>
        <w:tc>
          <w:tcPr>
            <w:tcW w:w="1525" w:type="pct"/>
            <w:vAlign w:val="center"/>
          </w:tcPr>
          <w:p w:rsidR="0009256E" w:rsidRPr="0026083C" w:rsidRDefault="00AA3122" w:rsidP="0009256E">
            <w:pPr>
              <w:pStyle w:val="Legenda"/>
              <w:jc w:val="both"/>
              <w:rPr>
                <w:rFonts w:cs="Arial"/>
                <w:color w:val="000000" w:themeColor="text1"/>
                <w:sz w:val="22"/>
                <w:szCs w:val="22"/>
              </w:rPr>
            </w:pPr>
            <w:r w:rsidRPr="00AA3122">
              <w:rPr>
                <w:rFonts w:cs="Arial"/>
                <w:color w:val="000000" w:themeColor="text1"/>
                <w:sz w:val="22"/>
                <w:szCs w:val="22"/>
              </w:rPr>
              <w:t>O Concessionário somente poderá recusar a solicitação da ANP justificadamente</w:t>
            </w:r>
            <w:r>
              <w:rPr>
                <w:rFonts w:cs="Arial"/>
                <w:color w:val="000000" w:themeColor="text1"/>
                <w:sz w:val="22"/>
                <w:szCs w:val="22"/>
              </w:rPr>
              <w:t xml:space="preserve">, </w:t>
            </w:r>
            <w:r w:rsidRPr="00AA3122">
              <w:rPr>
                <w:rFonts w:cs="Arial"/>
                <w:color w:val="000000" w:themeColor="text1"/>
                <w:sz w:val="22"/>
                <w:szCs w:val="22"/>
              </w:rPr>
              <w:t>não estando obrigado a prosseguir a operação do Campo em condições que considere antieconômicas</w:t>
            </w:r>
            <w:r>
              <w:rPr>
                <w:rFonts w:cs="Arial"/>
                <w:color w:val="000000" w:themeColor="text1"/>
                <w:sz w:val="22"/>
                <w:szCs w:val="22"/>
              </w:rPr>
              <w:t>.</w:t>
            </w:r>
          </w:p>
        </w:tc>
        <w:tc>
          <w:tcPr>
            <w:tcW w:w="1945" w:type="pct"/>
            <w:vAlign w:val="center"/>
          </w:tcPr>
          <w:p w:rsidR="0009256E" w:rsidRPr="00365A2A" w:rsidRDefault="00AA3122" w:rsidP="008B1682">
            <w:pPr>
              <w:pStyle w:val="Legenda"/>
              <w:jc w:val="both"/>
              <w:rPr>
                <w:rFonts w:cs="Arial"/>
                <w:color w:val="000000"/>
                <w:sz w:val="22"/>
                <w:szCs w:val="22"/>
                <w:lang w:eastAsia="en-US"/>
              </w:rPr>
            </w:pPr>
            <w:r>
              <w:rPr>
                <w:rFonts w:cs="Arial"/>
                <w:color w:val="000000"/>
                <w:sz w:val="22"/>
                <w:szCs w:val="22"/>
                <w:lang w:eastAsia="en-US"/>
              </w:rPr>
              <w:t xml:space="preserve">A redação proposta é idêntica ao texto que já esteve em contratos de rodadas anteriores e deixa claro que os Concessionários não serão obrigados a manter as operações </w:t>
            </w:r>
            <w:r w:rsidR="00D556D2">
              <w:rPr>
                <w:rFonts w:cs="Arial"/>
                <w:color w:val="000000"/>
                <w:sz w:val="22"/>
                <w:szCs w:val="22"/>
                <w:lang w:eastAsia="en-US"/>
              </w:rPr>
              <w:t>em situações de</w:t>
            </w:r>
            <w:r>
              <w:rPr>
                <w:rFonts w:cs="Arial"/>
                <w:color w:val="000000"/>
                <w:sz w:val="22"/>
                <w:szCs w:val="22"/>
                <w:lang w:eastAsia="en-US"/>
              </w:rPr>
              <w:t xml:space="preserve"> prejuízo.</w:t>
            </w:r>
          </w:p>
        </w:tc>
      </w:tr>
      <w:tr w:rsidR="0009256E" w:rsidRPr="00697392" w:rsidTr="00C8239C">
        <w:trPr>
          <w:trHeight w:val="2268"/>
        </w:trPr>
        <w:tc>
          <w:tcPr>
            <w:tcW w:w="551" w:type="pct"/>
            <w:vAlign w:val="center"/>
          </w:tcPr>
          <w:p w:rsidR="0009256E" w:rsidRDefault="0009256E" w:rsidP="0009256E">
            <w:pPr>
              <w:pStyle w:val="Legenda"/>
              <w:jc w:val="center"/>
              <w:rPr>
                <w:rFonts w:cs="Arial"/>
                <w:color w:val="000000" w:themeColor="text1"/>
                <w:sz w:val="22"/>
                <w:szCs w:val="22"/>
              </w:rPr>
            </w:pPr>
            <w:r>
              <w:rPr>
                <w:rFonts w:cs="Arial"/>
                <w:color w:val="000000" w:themeColor="text1"/>
                <w:sz w:val="22"/>
                <w:szCs w:val="22"/>
              </w:rPr>
              <w:t>Minuta do Contrato de Concessão</w:t>
            </w:r>
          </w:p>
        </w:tc>
        <w:tc>
          <w:tcPr>
            <w:tcW w:w="616" w:type="pct"/>
            <w:vAlign w:val="center"/>
          </w:tcPr>
          <w:p w:rsidR="0009256E" w:rsidRDefault="001C7265" w:rsidP="0009256E">
            <w:pPr>
              <w:pStyle w:val="Legenda"/>
              <w:jc w:val="center"/>
              <w:rPr>
                <w:rFonts w:cs="Arial"/>
                <w:color w:val="000000" w:themeColor="text1"/>
                <w:sz w:val="22"/>
                <w:szCs w:val="22"/>
              </w:rPr>
            </w:pPr>
            <w:r>
              <w:rPr>
                <w:rFonts w:cs="Arial"/>
                <w:color w:val="000000" w:themeColor="text1"/>
                <w:sz w:val="22"/>
                <w:szCs w:val="22"/>
              </w:rPr>
              <w:t>Exclusão</w:t>
            </w:r>
          </w:p>
        </w:tc>
        <w:tc>
          <w:tcPr>
            <w:tcW w:w="363" w:type="pct"/>
            <w:vAlign w:val="center"/>
          </w:tcPr>
          <w:p w:rsidR="0009256E" w:rsidRDefault="001C7265" w:rsidP="0009256E">
            <w:pPr>
              <w:pStyle w:val="Legenda"/>
              <w:jc w:val="center"/>
              <w:rPr>
                <w:rFonts w:cs="Arial"/>
                <w:color w:val="000000" w:themeColor="text1"/>
                <w:sz w:val="22"/>
                <w:szCs w:val="22"/>
              </w:rPr>
            </w:pPr>
            <w:r>
              <w:rPr>
                <w:rFonts w:cs="Arial"/>
                <w:color w:val="000000" w:themeColor="text1"/>
                <w:sz w:val="22"/>
                <w:szCs w:val="22"/>
              </w:rPr>
              <w:t>9.10.2</w:t>
            </w:r>
          </w:p>
        </w:tc>
        <w:tc>
          <w:tcPr>
            <w:tcW w:w="1525" w:type="pct"/>
            <w:vAlign w:val="center"/>
          </w:tcPr>
          <w:p w:rsidR="0009256E" w:rsidRPr="0026083C" w:rsidRDefault="0009256E" w:rsidP="0009256E">
            <w:pPr>
              <w:pStyle w:val="Legenda"/>
              <w:jc w:val="both"/>
              <w:rPr>
                <w:rFonts w:cs="Arial"/>
                <w:color w:val="000000" w:themeColor="text1"/>
                <w:sz w:val="22"/>
                <w:szCs w:val="22"/>
              </w:rPr>
            </w:pPr>
          </w:p>
        </w:tc>
        <w:tc>
          <w:tcPr>
            <w:tcW w:w="1945" w:type="pct"/>
            <w:vAlign w:val="center"/>
          </w:tcPr>
          <w:p w:rsidR="0009256E" w:rsidRPr="00365A2A" w:rsidRDefault="00F04568" w:rsidP="008B1682">
            <w:pPr>
              <w:pStyle w:val="Legenda"/>
              <w:jc w:val="both"/>
              <w:rPr>
                <w:rFonts w:cs="Arial"/>
                <w:color w:val="000000"/>
                <w:sz w:val="22"/>
                <w:szCs w:val="22"/>
                <w:lang w:eastAsia="en-US"/>
              </w:rPr>
            </w:pPr>
            <w:r>
              <w:rPr>
                <w:rFonts w:cs="Arial"/>
                <w:color w:val="000000"/>
                <w:sz w:val="22"/>
                <w:szCs w:val="22"/>
                <w:lang w:eastAsia="en-US"/>
              </w:rPr>
              <w:t>Algu</w:t>
            </w:r>
            <w:r w:rsidR="00461EB3">
              <w:rPr>
                <w:rFonts w:cs="Arial"/>
                <w:color w:val="000000"/>
                <w:sz w:val="22"/>
                <w:szCs w:val="22"/>
                <w:lang w:eastAsia="en-US"/>
              </w:rPr>
              <w:t>mas atividades podem ser conduzidas sem autorização expressa, nos termos dos regulamentos da ANP.</w:t>
            </w:r>
          </w:p>
        </w:tc>
      </w:tr>
      <w:tr w:rsidR="0009256E" w:rsidRPr="00697392" w:rsidTr="00C8239C">
        <w:trPr>
          <w:trHeight w:val="2268"/>
        </w:trPr>
        <w:tc>
          <w:tcPr>
            <w:tcW w:w="551" w:type="pct"/>
            <w:vAlign w:val="center"/>
          </w:tcPr>
          <w:p w:rsidR="0009256E" w:rsidRDefault="0009256E" w:rsidP="0009256E">
            <w:pPr>
              <w:pStyle w:val="Legenda"/>
              <w:jc w:val="center"/>
              <w:rPr>
                <w:rFonts w:cs="Arial"/>
                <w:color w:val="000000" w:themeColor="text1"/>
                <w:sz w:val="22"/>
                <w:szCs w:val="22"/>
              </w:rPr>
            </w:pPr>
            <w:r>
              <w:rPr>
                <w:rFonts w:cs="Arial"/>
                <w:color w:val="000000" w:themeColor="text1"/>
                <w:sz w:val="22"/>
                <w:szCs w:val="22"/>
              </w:rPr>
              <w:t>Minuta do Contrato de Concessão</w:t>
            </w:r>
          </w:p>
        </w:tc>
        <w:tc>
          <w:tcPr>
            <w:tcW w:w="616" w:type="pct"/>
            <w:vAlign w:val="center"/>
          </w:tcPr>
          <w:p w:rsidR="0009256E" w:rsidRDefault="00AF1A97" w:rsidP="00AF1A97">
            <w:pPr>
              <w:pStyle w:val="Legenda"/>
              <w:jc w:val="center"/>
              <w:rPr>
                <w:rFonts w:cs="Arial"/>
                <w:color w:val="000000" w:themeColor="text1"/>
                <w:sz w:val="22"/>
                <w:szCs w:val="22"/>
              </w:rPr>
            </w:pPr>
            <w:r>
              <w:rPr>
                <w:rFonts w:cs="Arial"/>
                <w:color w:val="000000" w:themeColor="text1"/>
                <w:sz w:val="22"/>
                <w:szCs w:val="22"/>
              </w:rPr>
              <w:t>Exclusão</w:t>
            </w:r>
          </w:p>
        </w:tc>
        <w:tc>
          <w:tcPr>
            <w:tcW w:w="363" w:type="pct"/>
            <w:vAlign w:val="center"/>
          </w:tcPr>
          <w:p w:rsidR="0009256E" w:rsidRDefault="00AF1A97" w:rsidP="0009256E">
            <w:pPr>
              <w:pStyle w:val="Legenda"/>
              <w:jc w:val="center"/>
              <w:rPr>
                <w:rFonts w:cs="Arial"/>
                <w:color w:val="000000" w:themeColor="text1"/>
                <w:sz w:val="22"/>
                <w:szCs w:val="22"/>
              </w:rPr>
            </w:pPr>
            <w:r>
              <w:rPr>
                <w:rFonts w:cs="Arial"/>
                <w:color w:val="000000" w:themeColor="text1"/>
                <w:sz w:val="22"/>
                <w:szCs w:val="22"/>
              </w:rPr>
              <w:t>9.10.3</w:t>
            </w:r>
          </w:p>
        </w:tc>
        <w:tc>
          <w:tcPr>
            <w:tcW w:w="1525" w:type="pct"/>
            <w:vAlign w:val="center"/>
          </w:tcPr>
          <w:p w:rsidR="0009256E" w:rsidRPr="0026083C" w:rsidRDefault="0009256E" w:rsidP="0009256E">
            <w:pPr>
              <w:pStyle w:val="Legenda"/>
              <w:jc w:val="both"/>
              <w:rPr>
                <w:rFonts w:cs="Arial"/>
                <w:color w:val="000000" w:themeColor="text1"/>
                <w:sz w:val="22"/>
                <w:szCs w:val="22"/>
              </w:rPr>
            </w:pPr>
          </w:p>
        </w:tc>
        <w:tc>
          <w:tcPr>
            <w:tcW w:w="1945" w:type="pct"/>
            <w:vAlign w:val="center"/>
          </w:tcPr>
          <w:p w:rsidR="0009256E" w:rsidRPr="00365A2A" w:rsidRDefault="00AF1A97" w:rsidP="008B1682">
            <w:pPr>
              <w:pStyle w:val="Legenda"/>
              <w:jc w:val="both"/>
              <w:rPr>
                <w:rFonts w:cs="Arial"/>
                <w:color w:val="000000"/>
                <w:sz w:val="22"/>
                <w:szCs w:val="22"/>
                <w:lang w:eastAsia="en-US"/>
              </w:rPr>
            </w:pPr>
            <w:r>
              <w:rPr>
                <w:rFonts w:cs="Arial"/>
                <w:color w:val="000000"/>
                <w:sz w:val="22"/>
                <w:szCs w:val="22"/>
                <w:lang w:eastAsia="en-US"/>
              </w:rPr>
              <w:t>Cláusula abusiva, pois a demora na aprovação do Programa de Desativação das Instalações obriga o Concessionário a manter a concessão por prazo indeterminado.</w:t>
            </w:r>
          </w:p>
        </w:tc>
      </w:tr>
      <w:tr w:rsidR="007A4220" w:rsidRPr="00697392" w:rsidTr="00C8239C">
        <w:trPr>
          <w:trHeight w:val="2268"/>
        </w:trPr>
        <w:tc>
          <w:tcPr>
            <w:tcW w:w="551" w:type="pct"/>
            <w:vAlign w:val="center"/>
          </w:tcPr>
          <w:p w:rsidR="007A4220" w:rsidRDefault="007A4220" w:rsidP="007A4220">
            <w:pPr>
              <w:pStyle w:val="Legenda"/>
              <w:jc w:val="center"/>
              <w:rPr>
                <w:rFonts w:cs="Arial"/>
                <w:color w:val="000000" w:themeColor="text1"/>
                <w:sz w:val="22"/>
                <w:szCs w:val="22"/>
              </w:rPr>
            </w:pPr>
            <w:r>
              <w:rPr>
                <w:rFonts w:cs="Arial"/>
                <w:color w:val="000000" w:themeColor="text1"/>
                <w:sz w:val="22"/>
                <w:szCs w:val="22"/>
              </w:rPr>
              <w:lastRenderedPageBreak/>
              <w:t>Minuta do Contrato de Concessão</w:t>
            </w:r>
          </w:p>
        </w:tc>
        <w:tc>
          <w:tcPr>
            <w:tcW w:w="616" w:type="pct"/>
            <w:vAlign w:val="center"/>
          </w:tcPr>
          <w:p w:rsidR="007A4220" w:rsidRPr="00A024C7" w:rsidRDefault="007A4220" w:rsidP="007A4220">
            <w:pPr>
              <w:pStyle w:val="Legenda"/>
              <w:jc w:val="center"/>
              <w:rPr>
                <w:rFonts w:cs="Arial"/>
                <w:color w:val="000000" w:themeColor="text1"/>
                <w:sz w:val="22"/>
                <w:szCs w:val="22"/>
              </w:rPr>
            </w:pPr>
            <w:r w:rsidRPr="00A024C7">
              <w:rPr>
                <w:rFonts w:cs="Arial"/>
                <w:color w:val="000000" w:themeColor="text1"/>
                <w:sz w:val="22"/>
                <w:szCs w:val="22"/>
              </w:rPr>
              <w:t>Alteração</w:t>
            </w:r>
          </w:p>
        </w:tc>
        <w:tc>
          <w:tcPr>
            <w:tcW w:w="363" w:type="pct"/>
            <w:vAlign w:val="center"/>
          </w:tcPr>
          <w:p w:rsidR="007A4220" w:rsidRPr="00A024C7" w:rsidRDefault="007A4220" w:rsidP="007A4220">
            <w:pPr>
              <w:pStyle w:val="Legenda"/>
              <w:jc w:val="center"/>
              <w:rPr>
                <w:rFonts w:cs="Arial"/>
                <w:color w:val="000000" w:themeColor="text1"/>
                <w:sz w:val="22"/>
                <w:szCs w:val="22"/>
              </w:rPr>
            </w:pPr>
            <w:r w:rsidRPr="00A024C7">
              <w:rPr>
                <w:rFonts w:cs="Arial"/>
                <w:color w:val="000000" w:themeColor="text1"/>
                <w:sz w:val="22"/>
                <w:szCs w:val="22"/>
              </w:rPr>
              <w:t>9.11</w:t>
            </w:r>
          </w:p>
        </w:tc>
        <w:tc>
          <w:tcPr>
            <w:tcW w:w="1525" w:type="pct"/>
            <w:vAlign w:val="center"/>
          </w:tcPr>
          <w:p w:rsidR="007A4220" w:rsidRPr="00A024C7" w:rsidRDefault="007A4220" w:rsidP="007A4220">
            <w:pPr>
              <w:pStyle w:val="Contrato-Clausula-Nvel3-1dezena"/>
              <w:numPr>
                <w:ilvl w:val="0"/>
                <w:numId w:val="0"/>
              </w:numPr>
              <w:ind w:left="26"/>
              <w:rPr>
                <w:rFonts w:cs="Arial"/>
                <w:szCs w:val="22"/>
              </w:rPr>
            </w:pPr>
            <w:r w:rsidRPr="00A024C7">
              <w:rPr>
                <w:rFonts w:cs="Arial"/>
                <w:szCs w:val="22"/>
              </w:rPr>
              <w:t>A ANP poderá determinar que o Concessionário não arrase determinados poços ou não desative ou remova certas instalações e equipamentos, sem prejuízo de seu direito de devolver a área.</w:t>
            </w:r>
          </w:p>
        </w:tc>
        <w:tc>
          <w:tcPr>
            <w:tcW w:w="1945" w:type="pct"/>
            <w:vAlign w:val="center"/>
          </w:tcPr>
          <w:p w:rsidR="007A4220" w:rsidRPr="00A024C7" w:rsidRDefault="007A4220" w:rsidP="008B1682">
            <w:pPr>
              <w:pStyle w:val="Legenda"/>
              <w:jc w:val="both"/>
              <w:rPr>
                <w:rFonts w:cs="Arial"/>
                <w:color w:val="000000" w:themeColor="text1"/>
                <w:sz w:val="22"/>
                <w:szCs w:val="22"/>
              </w:rPr>
            </w:pPr>
            <w:r w:rsidRPr="00A024C7">
              <w:rPr>
                <w:rFonts w:cs="Arial"/>
                <w:color w:val="000000" w:themeColor="text1"/>
                <w:sz w:val="22"/>
                <w:szCs w:val="22"/>
              </w:rPr>
              <w:t>Não há previsão da extinção das obrigações, trazendo risco adicional ao investidor.</w:t>
            </w:r>
          </w:p>
        </w:tc>
      </w:tr>
      <w:tr w:rsidR="007A4220" w:rsidRPr="00697392" w:rsidTr="00C8239C">
        <w:trPr>
          <w:trHeight w:val="2268"/>
        </w:trPr>
        <w:tc>
          <w:tcPr>
            <w:tcW w:w="551" w:type="pct"/>
            <w:vAlign w:val="center"/>
          </w:tcPr>
          <w:p w:rsidR="007A4220" w:rsidRDefault="007A4220" w:rsidP="007A4220">
            <w:pPr>
              <w:pStyle w:val="Legenda"/>
              <w:jc w:val="center"/>
              <w:rPr>
                <w:rFonts w:cs="Arial"/>
                <w:color w:val="000000" w:themeColor="text1"/>
                <w:sz w:val="22"/>
                <w:szCs w:val="22"/>
              </w:rPr>
            </w:pPr>
            <w:r>
              <w:rPr>
                <w:rFonts w:cs="Arial"/>
                <w:color w:val="000000" w:themeColor="text1"/>
                <w:sz w:val="22"/>
                <w:szCs w:val="22"/>
              </w:rPr>
              <w:t>Minuta do Contrato de Concessão</w:t>
            </w:r>
          </w:p>
        </w:tc>
        <w:tc>
          <w:tcPr>
            <w:tcW w:w="616" w:type="pct"/>
            <w:vAlign w:val="center"/>
          </w:tcPr>
          <w:p w:rsidR="007A4220" w:rsidRDefault="00A858A7" w:rsidP="007A4220">
            <w:pPr>
              <w:pStyle w:val="Legenda"/>
              <w:jc w:val="center"/>
              <w:rPr>
                <w:rFonts w:cs="Arial"/>
                <w:color w:val="000000" w:themeColor="text1"/>
                <w:sz w:val="22"/>
                <w:szCs w:val="22"/>
              </w:rPr>
            </w:pPr>
            <w:r>
              <w:rPr>
                <w:rFonts w:cs="Arial"/>
                <w:color w:val="000000" w:themeColor="text1"/>
                <w:sz w:val="22"/>
                <w:szCs w:val="22"/>
              </w:rPr>
              <w:t>Exclusão</w:t>
            </w:r>
          </w:p>
        </w:tc>
        <w:tc>
          <w:tcPr>
            <w:tcW w:w="363" w:type="pct"/>
            <w:vAlign w:val="center"/>
          </w:tcPr>
          <w:p w:rsidR="007A4220" w:rsidRDefault="00A858A7" w:rsidP="007A4220">
            <w:pPr>
              <w:pStyle w:val="Legenda"/>
              <w:jc w:val="center"/>
              <w:rPr>
                <w:rFonts w:cs="Arial"/>
                <w:color w:val="000000" w:themeColor="text1"/>
                <w:sz w:val="22"/>
                <w:szCs w:val="22"/>
              </w:rPr>
            </w:pPr>
            <w:proofErr w:type="gramStart"/>
            <w:r>
              <w:rPr>
                <w:rFonts w:cs="Arial"/>
                <w:color w:val="000000" w:themeColor="text1"/>
                <w:sz w:val="22"/>
                <w:szCs w:val="22"/>
              </w:rPr>
              <w:t>10.1</w:t>
            </w:r>
            <w:r>
              <w:rPr>
                <w:rFonts w:cs="Arial"/>
                <w:color w:val="000000" w:themeColor="text1"/>
                <w:sz w:val="22"/>
                <w:szCs w:val="22"/>
              </w:rPr>
              <w:br/>
              <w:t>al</w:t>
            </w:r>
            <w:r w:rsidR="000B7CC5">
              <w:rPr>
                <w:rFonts w:cs="Arial"/>
                <w:color w:val="000000" w:themeColor="text1"/>
                <w:sz w:val="22"/>
                <w:szCs w:val="22"/>
              </w:rPr>
              <w:t>ínea</w:t>
            </w:r>
            <w:proofErr w:type="gramEnd"/>
            <w:r w:rsidR="000B7CC5">
              <w:rPr>
                <w:rFonts w:cs="Arial"/>
                <w:color w:val="000000" w:themeColor="text1"/>
                <w:sz w:val="22"/>
                <w:szCs w:val="22"/>
              </w:rPr>
              <w:t xml:space="preserve"> d</w:t>
            </w:r>
          </w:p>
        </w:tc>
        <w:tc>
          <w:tcPr>
            <w:tcW w:w="1525" w:type="pct"/>
            <w:vAlign w:val="center"/>
          </w:tcPr>
          <w:p w:rsidR="007A4220" w:rsidRPr="0026083C" w:rsidRDefault="007A4220" w:rsidP="007A4220">
            <w:pPr>
              <w:pStyle w:val="Legenda"/>
              <w:jc w:val="both"/>
              <w:rPr>
                <w:rFonts w:cs="Arial"/>
                <w:color w:val="000000" w:themeColor="text1"/>
                <w:sz w:val="22"/>
                <w:szCs w:val="22"/>
              </w:rPr>
            </w:pPr>
          </w:p>
        </w:tc>
        <w:tc>
          <w:tcPr>
            <w:tcW w:w="1945" w:type="pct"/>
            <w:vAlign w:val="center"/>
          </w:tcPr>
          <w:p w:rsidR="007A4220" w:rsidRPr="00365A2A" w:rsidRDefault="00A858A7" w:rsidP="008B1682">
            <w:pPr>
              <w:pStyle w:val="Legenda"/>
              <w:jc w:val="both"/>
              <w:rPr>
                <w:rFonts w:cs="Arial"/>
                <w:color w:val="000000"/>
                <w:sz w:val="22"/>
                <w:szCs w:val="22"/>
                <w:lang w:eastAsia="en-US"/>
              </w:rPr>
            </w:pPr>
            <w:r w:rsidRPr="00A024C7">
              <w:rPr>
                <w:rFonts w:cs="Arial"/>
                <w:color w:val="000000" w:themeColor="text1"/>
                <w:sz w:val="22"/>
                <w:szCs w:val="22"/>
              </w:rPr>
              <w:t>O conteúdo do PD deve ser abordado em Resolução específica da ANP.</w:t>
            </w:r>
          </w:p>
        </w:tc>
      </w:tr>
      <w:tr w:rsidR="000B7CC5" w:rsidRPr="00697392" w:rsidTr="00C8239C">
        <w:trPr>
          <w:trHeight w:val="2268"/>
        </w:trPr>
        <w:tc>
          <w:tcPr>
            <w:tcW w:w="551" w:type="pct"/>
            <w:vAlign w:val="center"/>
          </w:tcPr>
          <w:p w:rsidR="000B7CC5" w:rsidRDefault="000B7CC5" w:rsidP="000B7CC5">
            <w:pPr>
              <w:pStyle w:val="Legenda"/>
              <w:jc w:val="center"/>
              <w:rPr>
                <w:rFonts w:cs="Arial"/>
                <w:color w:val="000000" w:themeColor="text1"/>
                <w:sz w:val="22"/>
                <w:szCs w:val="22"/>
              </w:rPr>
            </w:pPr>
            <w:r>
              <w:rPr>
                <w:rFonts w:cs="Arial"/>
                <w:color w:val="000000" w:themeColor="text1"/>
                <w:sz w:val="22"/>
                <w:szCs w:val="22"/>
              </w:rPr>
              <w:t>Minuta do Contrato de Concessão</w:t>
            </w:r>
          </w:p>
        </w:tc>
        <w:tc>
          <w:tcPr>
            <w:tcW w:w="616" w:type="pct"/>
            <w:vAlign w:val="center"/>
          </w:tcPr>
          <w:p w:rsidR="000B7CC5" w:rsidRDefault="000B7CC5" w:rsidP="000B7CC5">
            <w:pPr>
              <w:pStyle w:val="Legenda"/>
              <w:jc w:val="center"/>
              <w:rPr>
                <w:rFonts w:cs="Arial"/>
                <w:color w:val="000000" w:themeColor="text1"/>
                <w:sz w:val="22"/>
                <w:szCs w:val="22"/>
              </w:rPr>
            </w:pPr>
            <w:r>
              <w:rPr>
                <w:rFonts w:cs="Arial"/>
                <w:color w:val="000000" w:themeColor="text1"/>
                <w:sz w:val="22"/>
                <w:szCs w:val="22"/>
              </w:rPr>
              <w:t>Exclusão</w:t>
            </w:r>
          </w:p>
        </w:tc>
        <w:tc>
          <w:tcPr>
            <w:tcW w:w="363" w:type="pct"/>
            <w:vAlign w:val="center"/>
          </w:tcPr>
          <w:p w:rsidR="000B7CC5" w:rsidRDefault="000B7CC5" w:rsidP="000B7CC5">
            <w:pPr>
              <w:pStyle w:val="Legenda"/>
              <w:jc w:val="center"/>
              <w:rPr>
                <w:rFonts w:cs="Arial"/>
                <w:color w:val="000000" w:themeColor="text1"/>
                <w:sz w:val="22"/>
                <w:szCs w:val="22"/>
              </w:rPr>
            </w:pPr>
            <w:proofErr w:type="gramStart"/>
            <w:r>
              <w:rPr>
                <w:rFonts w:cs="Arial"/>
                <w:color w:val="000000" w:themeColor="text1"/>
                <w:sz w:val="22"/>
                <w:szCs w:val="22"/>
              </w:rPr>
              <w:t>10.1</w:t>
            </w:r>
            <w:r>
              <w:rPr>
                <w:rFonts w:cs="Arial"/>
                <w:color w:val="000000" w:themeColor="text1"/>
                <w:sz w:val="22"/>
                <w:szCs w:val="22"/>
              </w:rPr>
              <w:br/>
              <w:t>alínea</w:t>
            </w:r>
            <w:proofErr w:type="gramEnd"/>
            <w:r>
              <w:rPr>
                <w:rFonts w:cs="Arial"/>
                <w:color w:val="000000" w:themeColor="text1"/>
                <w:sz w:val="22"/>
                <w:szCs w:val="22"/>
              </w:rPr>
              <w:t xml:space="preserve"> f</w:t>
            </w:r>
          </w:p>
        </w:tc>
        <w:tc>
          <w:tcPr>
            <w:tcW w:w="1525" w:type="pct"/>
            <w:vAlign w:val="center"/>
          </w:tcPr>
          <w:p w:rsidR="000B7CC5" w:rsidRPr="0026083C" w:rsidRDefault="000B7CC5" w:rsidP="000B7CC5">
            <w:pPr>
              <w:pStyle w:val="Legenda"/>
              <w:jc w:val="both"/>
              <w:rPr>
                <w:rFonts w:cs="Arial"/>
                <w:color w:val="000000" w:themeColor="text1"/>
                <w:sz w:val="22"/>
                <w:szCs w:val="22"/>
              </w:rPr>
            </w:pPr>
          </w:p>
        </w:tc>
        <w:tc>
          <w:tcPr>
            <w:tcW w:w="1945" w:type="pct"/>
            <w:vAlign w:val="center"/>
          </w:tcPr>
          <w:p w:rsidR="000B7CC5" w:rsidRPr="00365A2A" w:rsidRDefault="000B7CC5" w:rsidP="008B1682">
            <w:pPr>
              <w:pStyle w:val="Legenda"/>
              <w:jc w:val="both"/>
              <w:rPr>
                <w:rFonts w:cs="Arial"/>
                <w:color w:val="000000"/>
                <w:sz w:val="22"/>
                <w:szCs w:val="22"/>
                <w:lang w:eastAsia="en-US"/>
              </w:rPr>
            </w:pPr>
            <w:r w:rsidRPr="00A024C7">
              <w:rPr>
                <w:rFonts w:cs="Arial"/>
                <w:color w:val="000000" w:themeColor="text1"/>
                <w:sz w:val="22"/>
                <w:szCs w:val="22"/>
              </w:rPr>
              <w:t>O conteúdo do PD deve ser abordado em Resolução específica da ANP.</w:t>
            </w:r>
          </w:p>
        </w:tc>
      </w:tr>
      <w:tr w:rsidR="000B7CC5" w:rsidRPr="00697392" w:rsidTr="00C8239C">
        <w:trPr>
          <w:trHeight w:val="2268"/>
        </w:trPr>
        <w:tc>
          <w:tcPr>
            <w:tcW w:w="551" w:type="pct"/>
            <w:vAlign w:val="center"/>
          </w:tcPr>
          <w:p w:rsidR="000B7CC5" w:rsidRDefault="000B7CC5" w:rsidP="000B7CC5">
            <w:pPr>
              <w:pStyle w:val="Legenda"/>
              <w:jc w:val="center"/>
              <w:rPr>
                <w:rFonts w:cs="Arial"/>
                <w:color w:val="000000" w:themeColor="text1"/>
                <w:sz w:val="22"/>
                <w:szCs w:val="22"/>
              </w:rPr>
            </w:pPr>
            <w:r>
              <w:rPr>
                <w:rFonts w:cs="Arial"/>
                <w:color w:val="000000" w:themeColor="text1"/>
                <w:sz w:val="22"/>
                <w:szCs w:val="22"/>
              </w:rPr>
              <w:lastRenderedPageBreak/>
              <w:t>Minuta do Contrato de Concessão</w:t>
            </w:r>
          </w:p>
        </w:tc>
        <w:tc>
          <w:tcPr>
            <w:tcW w:w="616" w:type="pct"/>
            <w:vAlign w:val="center"/>
          </w:tcPr>
          <w:p w:rsidR="000B7CC5" w:rsidRPr="00A024C7" w:rsidRDefault="000B7CC5" w:rsidP="000B7CC5">
            <w:pPr>
              <w:pStyle w:val="Legenda"/>
              <w:jc w:val="center"/>
              <w:rPr>
                <w:rFonts w:cs="Arial"/>
                <w:color w:val="000000" w:themeColor="text1"/>
                <w:sz w:val="22"/>
                <w:szCs w:val="22"/>
              </w:rPr>
            </w:pPr>
            <w:r w:rsidRPr="00A024C7">
              <w:rPr>
                <w:rFonts w:cs="Arial"/>
                <w:color w:val="000000" w:themeColor="text1"/>
                <w:sz w:val="22"/>
                <w:szCs w:val="22"/>
              </w:rPr>
              <w:t>Alteração</w:t>
            </w:r>
          </w:p>
        </w:tc>
        <w:tc>
          <w:tcPr>
            <w:tcW w:w="363" w:type="pct"/>
            <w:vAlign w:val="center"/>
          </w:tcPr>
          <w:p w:rsidR="000B7CC5" w:rsidRPr="00A024C7" w:rsidRDefault="000B7CC5" w:rsidP="000B7CC5">
            <w:pPr>
              <w:pStyle w:val="Legenda"/>
              <w:jc w:val="center"/>
              <w:rPr>
                <w:rFonts w:cs="Arial"/>
                <w:color w:val="000000" w:themeColor="text1"/>
                <w:sz w:val="22"/>
                <w:szCs w:val="22"/>
              </w:rPr>
            </w:pPr>
            <w:r w:rsidRPr="00A024C7">
              <w:rPr>
                <w:rFonts w:cs="Arial"/>
                <w:color w:val="000000" w:themeColor="text1"/>
                <w:sz w:val="22"/>
                <w:szCs w:val="22"/>
              </w:rPr>
              <w:t>10.7.1</w:t>
            </w:r>
          </w:p>
        </w:tc>
        <w:tc>
          <w:tcPr>
            <w:tcW w:w="1525" w:type="pct"/>
            <w:vAlign w:val="center"/>
          </w:tcPr>
          <w:p w:rsidR="000B7CC5" w:rsidRPr="00A024C7" w:rsidRDefault="000B7CC5" w:rsidP="000B7CC5">
            <w:pPr>
              <w:pStyle w:val="Contrato-Clausula-Nvel3-1dezena"/>
              <w:numPr>
                <w:ilvl w:val="0"/>
                <w:numId w:val="0"/>
              </w:numPr>
              <w:ind w:left="26"/>
              <w:rPr>
                <w:rFonts w:cs="Arial"/>
                <w:szCs w:val="22"/>
              </w:rPr>
            </w:pPr>
            <w:r w:rsidRPr="00A024C7">
              <w:rPr>
                <w:rFonts w:cs="Arial"/>
                <w:szCs w:val="22"/>
              </w:rPr>
              <w:t>Caso a ANP não se pronuncie dentro desse prazo, o Plano de Desenvolvimento será considerado aprovado, não se afastando o poder/dever de a ANP demandar revisões técnicas sempre que necessário.</w:t>
            </w:r>
          </w:p>
        </w:tc>
        <w:tc>
          <w:tcPr>
            <w:tcW w:w="1945" w:type="pct"/>
            <w:vAlign w:val="center"/>
          </w:tcPr>
          <w:p w:rsidR="000B7CC5" w:rsidRPr="00A024C7" w:rsidRDefault="000B7CC5" w:rsidP="008B1682">
            <w:pPr>
              <w:pStyle w:val="Legenda"/>
              <w:jc w:val="both"/>
              <w:rPr>
                <w:rFonts w:cs="Arial"/>
                <w:color w:val="000000" w:themeColor="text1"/>
                <w:sz w:val="22"/>
                <w:szCs w:val="22"/>
              </w:rPr>
            </w:pPr>
            <w:r w:rsidRPr="00A024C7">
              <w:rPr>
                <w:rFonts w:cs="Arial"/>
                <w:color w:val="000000" w:themeColor="text1"/>
                <w:sz w:val="22"/>
                <w:szCs w:val="22"/>
              </w:rPr>
              <w:t>A nova redação visa a dar destaque à ocorrência de revisões de acordo com as Melhores Práticas da Indústria do Petróleo.</w:t>
            </w:r>
          </w:p>
        </w:tc>
      </w:tr>
      <w:tr w:rsidR="00200E05" w:rsidRPr="00697392" w:rsidTr="00C8239C">
        <w:trPr>
          <w:trHeight w:val="2268"/>
        </w:trPr>
        <w:tc>
          <w:tcPr>
            <w:tcW w:w="551" w:type="pct"/>
            <w:vAlign w:val="center"/>
          </w:tcPr>
          <w:p w:rsidR="00200E05" w:rsidRDefault="00200E05" w:rsidP="00200E05">
            <w:pPr>
              <w:pStyle w:val="Legenda"/>
              <w:jc w:val="center"/>
              <w:rPr>
                <w:rFonts w:cs="Arial"/>
                <w:color w:val="000000" w:themeColor="text1"/>
                <w:sz w:val="22"/>
                <w:szCs w:val="22"/>
              </w:rPr>
            </w:pPr>
            <w:r>
              <w:rPr>
                <w:rFonts w:cs="Arial"/>
                <w:color w:val="000000" w:themeColor="text1"/>
                <w:sz w:val="22"/>
                <w:szCs w:val="22"/>
              </w:rPr>
              <w:t>Minuta do Contrato de Concessão</w:t>
            </w:r>
          </w:p>
        </w:tc>
        <w:tc>
          <w:tcPr>
            <w:tcW w:w="616" w:type="pct"/>
            <w:vAlign w:val="center"/>
          </w:tcPr>
          <w:p w:rsidR="00200E05" w:rsidRPr="00A024C7" w:rsidRDefault="00200E05" w:rsidP="00200E05">
            <w:pPr>
              <w:pStyle w:val="Legenda"/>
              <w:jc w:val="center"/>
              <w:rPr>
                <w:rFonts w:cs="Arial"/>
                <w:color w:val="000000" w:themeColor="text1"/>
                <w:sz w:val="22"/>
                <w:szCs w:val="22"/>
              </w:rPr>
            </w:pPr>
            <w:r w:rsidRPr="00A024C7">
              <w:rPr>
                <w:rFonts w:cs="Arial"/>
                <w:color w:val="000000" w:themeColor="text1"/>
                <w:sz w:val="22"/>
                <w:szCs w:val="22"/>
              </w:rPr>
              <w:t>Alteração</w:t>
            </w:r>
          </w:p>
        </w:tc>
        <w:tc>
          <w:tcPr>
            <w:tcW w:w="363" w:type="pct"/>
            <w:vAlign w:val="center"/>
          </w:tcPr>
          <w:p w:rsidR="00200E05" w:rsidRPr="00A024C7" w:rsidRDefault="00200E05" w:rsidP="00200E05">
            <w:pPr>
              <w:pStyle w:val="Legenda"/>
              <w:jc w:val="center"/>
              <w:rPr>
                <w:rFonts w:cs="Arial"/>
                <w:color w:val="000000" w:themeColor="text1"/>
                <w:sz w:val="22"/>
                <w:szCs w:val="22"/>
              </w:rPr>
            </w:pPr>
            <w:r w:rsidRPr="00A024C7">
              <w:rPr>
                <w:rFonts w:cs="Arial"/>
                <w:color w:val="000000" w:themeColor="text1"/>
                <w:sz w:val="22"/>
                <w:szCs w:val="22"/>
              </w:rPr>
              <w:t>10.7.2</w:t>
            </w:r>
          </w:p>
        </w:tc>
        <w:tc>
          <w:tcPr>
            <w:tcW w:w="1525" w:type="pct"/>
            <w:vAlign w:val="center"/>
          </w:tcPr>
          <w:p w:rsidR="00200E05" w:rsidRPr="00A024C7" w:rsidRDefault="00200E05" w:rsidP="00200E05">
            <w:pPr>
              <w:pStyle w:val="Contrato-Clausula-Nvel3-1dezena"/>
              <w:numPr>
                <w:ilvl w:val="0"/>
                <w:numId w:val="0"/>
              </w:numPr>
              <w:ind w:left="26"/>
              <w:rPr>
                <w:rFonts w:cs="Arial"/>
                <w:szCs w:val="22"/>
              </w:rPr>
            </w:pPr>
            <w:r w:rsidRPr="00A024C7">
              <w:rPr>
                <w:rFonts w:cs="Arial"/>
                <w:szCs w:val="22"/>
              </w:rPr>
              <w:t>Caso a ANP solicite modificações, o Concessionário deverá apresentá-las no prazo determinado pela ANP, não inferior a 30 (trinta) dias, repetindo-se então o procedimento previsto neste parágrafo 10.7.</w:t>
            </w:r>
          </w:p>
          <w:p w:rsidR="00200E05" w:rsidRPr="0026083C" w:rsidRDefault="00200E05" w:rsidP="00200E05">
            <w:pPr>
              <w:pStyle w:val="Legenda"/>
              <w:jc w:val="both"/>
              <w:rPr>
                <w:rFonts w:cs="Arial"/>
                <w:color w:val="000000" w:themeColor="text1"/>
                <w:sz w:val="22"/>
                <w:szCs w:val="22"/>
              </w:rPr>
            </w:pPr>
          </w:p>
        </w:tc>
        <w:tc>
          <w:tcPr>
            <w:tcW w:w="1945" w:type="pct"/>
            <w:vAlign w:val="center"/>
          </w:tcPr>
          <w:p w:rsidR="00200E05" w:rsidRPr="00365A2A" w:rsidRDefault="00200E05" w:rsidP="008B1682">
            <w:pPr>
              <w:pStyle w:val="Legenda"/>
              <w:jc w:val="both"/>
              <w:rPr>
                <w:rFonts w:cs="Arial"/>
                <w:color w:val="000000"/>
                <w:sz w:val="22"/>
                <w:szCs w:val="22"/>
                <w:lang w:eastAsia="en-US"/>
              </w:rPr>
            </w:pPr>
            <w:r>
              <w:rPr>
                <w:rFonts w:cs="Arial"/>
                <w:color w:val="000000"/>
                <w:sz w:val="22"/>
                <w:szCs w:val="22"/>
                <w:lang w:eastAsia="en-US"/>
              </w:rPr>
              <w:t>Definir um prazo razoável para que o Concessionário possa apresentar as modificações solicitadas.</w:t>
            </w:r>
          </w:p>
        </w:tc>
      </w:tr>
      <w:tr w:rsidR="00200E05" w:rsidRPr="00697392" w:rsidTr="00C8239C">
        <w:trPr>
          <w:trHeight w:val="2268"/>
        </w:trPr>
        <w:tc>
          <w:tcPr>
            <w:tcW w:w="551" w:type="pct"/>
            <w:vAlign w:val="center"/>
          </w:tcPr>
          <w:p w:rsidR="00200E05" w:rsidRDefault="00200E05" w:rsidP="00200E05">
            <w:pPr>
              <w:pStyle w:val="Legenda"/>
              <w:jc w:val="center"/>
              <w:rPr>
                <w:rFonts w:cs="Arial"/>
                <w:color w:val="000000" w:themeColor="text1"/>
                <w:sz w:val="22"/>
                <w:szCs w:val="22"/>
              </w:rPr>
            </w:pPr>
            <w:r>
              <w:rPr>
                <w:rFonts w:cs="Arial"/>
                <w:color w:val="000000" w:themeColor="text1"/>
                <w:sz w:val="22"/>
                <w:szCs w:val="22"/>
              </w:rPr>
              <w:t>Minuta do Contrato de Concessão</w:t>
            </w:r>
          </w:p>
        </w:tc>
        <w:tc>
          <w:tcPr>
            <w:tcW w:w="616" w:type="pct"/>
            <w:vAlign w:val="center"/>
          </w:tcPr>
          <w:p w:rsidR="00200E05" w:rsidRDefault="00B82FBB" w:rsidP="00200E05">
            <w:pPr>
              <w:pStyle w:val="Legenda"/>
              <w:jc w:val="center"/>
              <w:rPr>
                <w:rFonts w:cs="Arial"/>
                <w:color w:val="000000" w:themeColor="text1"/>
                <w:sz w:val="22"/>
                <w:szCs w:val="22"/>
              </w:rPr>
            </w:pPr>
            <w:r>
              <w:rPr>
                <w:rFonts w:cs="Arial"/>
                <w:color w:val="000000" w:themeColor="text1"/>
                <w:sz w:val="22"/>
                <w:szCs w:val="22"/>
              </w:rPr>
              <w:t>Exclusão</w:t>
            </w:r>
          </w:p>
        </w:tc>
        <w:tc>
          <w:tcPr>
            <w:tcW w:w="363" w:type="pct"/>
            <w:vAlign w:val="center"/>
          </w:tcPr>
          <w:p w:rsidR="00200E05" w:rsidRDefault="00B82FBB" w:rsidP="00200E05">
            <w:pPr>
              <w:pStyle w:val="Legenda"/>
              <w:jc w:val="center"/>
              <w:rPr>
                <w:rFonts w:cs="Arial"/>
                <w:color w:val="000000" w:themeColor="text1"/>
                <w:sz w:val="22"/>
                <w:szCs w:val="22"/>
              </w:rPr>
            </w:pPr>
            <w:r>
              <w:rPr>
                <w:rFonts w:cs="Arial"/>
                <w:color w:val="000000" w:themeColor="text1"/>
                <w:sz w:val="22"/>
                <w:szCs w:val="22"/>
              </w:rPr>
              <w:t>10.7.3</w:t>
            </w:r>
          </w:p>
        </w:tc>
        <w:tc>
          <w:tcPr>
            <w:tcW w:w="1525" w:type="pct"/>
            <w:vAlign w:val="center"/>
          </w:tcPr>
          <w:p w:rsidR="00200E05" w:rsidRPr="0026083C" w:rsidRDefault="00200E05" w:rsidP="00200E05">
            <w:pPr>
              <w:pStyle w:val="Legenda"/>
              <w:jc w:val="both"/>
              <w:rPr>
                <w:rFonts w:cs="Arial"/>
                <w:color w:val="000000" w:themeColor="text1"/>
                <w:sz w:val="22"/>
                <w:szCs w:val="22"/>
              </w:rPr>
            </w:pPr>
          </w:p>
        </w:tc>
        <w:tc>
          <w:tcPr>
            <w:tcW w:w="1945" w:type="pct"/>
            <w:vAlign w:val="center"/>
          </w:tcPr>
          <w:p w:rsidR="00200E05" w:rsidRPr="00365A2A" w:rsidRDefault="00B82FBB" w:rsidP="008B1682">
            <w:pPr>
              <w:pStyle w:val="Legenda"/>
              <w:jc w:val="both"/>
              <w:rPr>
                <w:rFonts w:cs="Arial"/>
                <w:color w:val="000000"/>
                <w:sz w:val="22"/>
                <w:szCs w:val="22"/>
                <w:lang w:eastAsia="en-US"/>
              </w:rPr>
            </w:pPr>
            <w:r w:rsidRPr="00B82FBB">
              <w:rPr>
                <w:rFonts w:cs="Arial"/>
                <w:color w:val="000000"/>
                <w:sz w:val="22"/>
                <w:szCs w:val="22"/>
                <w:lang w:eastAsia="en-US"/>
              </w:rPr>
              <w:t>A extinção do Contrato pela reprovação do PD gera grande insegurança jurídica, uma vez que a aprovação ou reprovação do PD é discricionariedade da ANP, mesmo que motivada por questões técnicas. Desse modo, a ANP fica com o controle total da vigência do Contrato.</w:t>
            </w:r>
          </w:p>
        </w:tc>
      </w:tr>
      <w:tr w:rsidR="00200E05" w:rsidRPr="00697392" w:rsidTr="00C8239C">
        <w:trPr>
          <w:trHeight w:val="2268"/>
        </w:trPr>
        <w:tc>
          <w:tcPr>
            <w:tcW w:w="551" w:type="pct"/>
            <w:vAlign w:val="center"/>
          </w:tcPr>
          <w:p w:rsidR="00200E05" w:rsidRDefault="00200E05" w:rsidP="00200E05">
            <w:pPr>
              <w:pStyle w:val="Legenda"/>
              <w:jc w:val="center"/>
              <w:rPr>
                <w:rFonts w:cs="Arial"/>
                <w:color w:val="000000" w:themeColor="text1"/>
                <w:sz w:val="22"/>
                <w:szCs w:val="22"/>
              </w:rPr>
            </w:pPr>
            <w:r>
              <w:rPr>
                <w:rFonts w:cs="Arial"/>
                <w:color w:val="000000" w:themeColor="text1"/>
                <w:sz w:val="22"/>
                <w:szCs w:val="22"/>
              </w:rPr>
              <w:lastRenderedPageBreak/>
              <w:t>Minuta do Contrato de Concessão</w:t>
            </w:r>
          </w:p>
        </w:tc>
        <w:tc>
          <w:tcPr>
            <w:tcW w:w="616" w:type="pct"/>
            <w:vAlign w:val="center"/>
          </w:tcPr>
          <w:p w:rsidR="00200E05" w:rsidRDefault="006F0687" w:rsidP="00200E05">
            <w:pPr>
              <w:pStyle w:val="Legenda"/>
              <w:jc w:val="center"/>
              <w:rPr>
                <w:rFonts w:cs="Arial"/>
                <w:color w:val="000000" w:themeColor="text1"/>
                <w:sz w:val="22"/>
                <w:szCs w:val="22"/>
              </w:rPr>
            </w:pPr>
            <w:r>
              <w:rPr>
                <w:rFonts w:cs="Arial"/>
                <w:color w:val="000000" w:themeColor="text1"/>
                <w:sz w:val="22"/>
                <w:szCs w:val="22"/>
              </w:rPr>
              <w:t>Alteração</w:t>
            </w:r>
          </w:p>
        </w:tc>
        <w:tc>
          <w:tcPr>
            <w:tcW w:w="363" w:type="pct"/>
            <w:vAlign w:val="center"/>
          </w:tcPr>
          <w:p w:rsidR="00200E05" w:rsidRDefault="006F0687" w:rsidP="00200E05">
            <w:pPr>
              <w:pStyle w:val="Legenda"/>
              <w:jc w:val="center"/>
              <w:rPr>
                <w:rFonts w:cs="Arial"/>
                <w:color w:val="000000" w:themeColor="text1"/>
                <w:sz w:val="22"/>
                <w:szCs w:val="22"/>
              </w:rPr>
            </w:pPr>
            <w:r>
              <w:rPr>
                <w:rFonts w:cs="Arial"/>
                <w:color w:val="000000" w:themeColor="text1"/>
                <w:sz w:val="22"/>
                <w:szCs w:val="22"/>
              </w:rPr>
              <w:t>10.8</w:t>
            </w:r>
          </w:p>
        </w:tc>
        <w:tc>
          <w:tcPr>
            <w:tcW w:w="1525" w:type="pct"/>
            <w:vAlign w:val="center"/>
          </w:tcPr>
          <w:p w:rsidR="00200E05" w:rsidRPr="0026083C" w:rsidRDefault="006F0687" w:rsidP="006F0687">
            <w:pPr>
              <w:pStyle w:val="Legenda"/>
              <w:jc w:val="both"/>
              <w:rPr>
                <w:rFonts w:cs="Arial"/>
                <w:color w:val="000000" w:themeColor="text1"/>
                <w:sz w:val="22"/>
                <w:szCs w:val="22"/>
              </w:rPr>
            </w:pPr>
            <w:r>
              <w:rPr>
                <w:rFonts w:cs="Arial"/>
                <w:color w:val="000000" w:themeColor="text1"/>
                <w:sz w:val="22"/>
                <w:szCs w:val="22"/>
              </w:rPr>
              <w:t>Até que o Plano de Desenvolvimento seja aprovado, o Concessionário somente poderá realizar qualquer trabalho ou conduzir qualquer Operação na Área de Desenvolvimento mediante prévia aprovação da ANP.</w:t>
            </w:r>
          </w:p>
        </w:tc>
        <w:tc>
          <w:tcPr>
            <w:tcW w:w="1945" w:type="pct"/>
            <w:vAlign w:val="center"/>
          </w:tcPr>
          <w:p w:rsidR="00200E05" w:rsidRPr="00365A2A" w:rsidRDefault="006F0687" w:rsidP="008B1682">
            <w:pPr>
              <w:pStyle w:val="Legenda"/>
              <w:jc w:val="both"/>
              <w:rPr>
                <w:rFonts w:cs="Arial"/>
                <w:color w:val="000000"/>
                <w:sz w:val="22"/>
                <w:szCs w:val="22"/>
                <w:lang w:eastAsia="en-US"/>
              </w:rPr>
            </w:pPr>
            <w:r>
              <w:rPr>
                <w:rFonts w:cs="Arial"/>
                <w:color w:val="000000"/>
                <w:sz w:val="22"/>
                <w:szCs w:val="22"/>
                <w:lang w:eastAsia="en-US"/>
              </w:rPr>
              <w:t>Ajuste de redação, permitindo maior flexibilidade da ANP para autorização de atividades anteriormente à aprovação do Plano de Desenvolvimento.</w:t>
            </w:r>
          </w:p>
        </w:tc>
      </w:tr>
      <w:tr w:rsidR="00200E05" w:rsidRPr="00697392" w:rsidTr="00C8239C">
        <w:trPr>
          <w:trHeight w:val="2268"/>
        </w:trPr>
        <w:tc>
          <w:tcPr>
            <w:tcW w:w="551" w:type="pct"/>
            <w:vAlign w:val="center"/>
          </w:tcPr>
          <w:p w:rsidR="00200E05" w:rsidRDefault="00200E05" w:rsidP="00200E05">
            <w:pPr>
              <w:pStyle w:val="Legenda"/>
              <w:jc w:val="center"/>
              <w:rPr>
                <w:rFonts w:cs="Arial"/>
                <w:color w:val="000000" w:themeColor="text1"/>
                <w:sz w:val="22"/>
                <w:szCs w:val="22"/>
              </w:rPr>
            </w:pPr>
            <w:r>
              <w:rPr>
                <w:rFonts w:cs="Arial"/>
                <w:color w:val="000000" w:themeColor="text1"/>
                <w:sz w:val="22"/>
                <w:szCs w:val="22"/>
              </w:rPr>
              <w:t>Minuta do Contrato de Concessão</w:t>
            </w:r>
          </w:p>
        </w:tc>
        <w:tc>
          <w:tcPr>
            <w:tcW w:w="616" w:type="pct"/>
            <w:vAlign w:val="center"/>
          </w:tcPr>
          <w:p w:rsidR="00200E05" w:rsidRDefault="00E80A6E" w:rsidP="00200E05">
            <w:pPr>
              <w:pStyle w:val="Legenda"/>
              <w:jc w:val="center"/>
              <w:rPr>
                <w:rFonts w:cs="Arial"/>
                <w:color w:val="000000" w:themeColor="text1"/>
                <w:sz w:val="22"/>
                <w:szCs w:val="22"/>
              </w:rPr>
            </w:pPr>
            <w:r>
              <w:rPr>
                <w:rFonts w:cs="Arial"/>
                <w:color w:val="000000" w:themeColor="text1"/>
                <w:sz w:val="22"/>
                <w:szCs w:val="22"/>
              </w:rPr>
              <w:t>Exclusão</w:t>
            </w:r>
          </w:p>
        </w:tc>
        <w:tc>
          <w:tcPr>
            <w:tcW w:w="363" w:type="pct"/>
            <w:vAlign w:val="center"/>
          </w:tcPr>
          <w:p w:rsidR="00200E05" w:rsidRDefault="00E80A6E" w:rsidP="00200E05">
            <w:pPr>
              <w:pStyle w:val="Legenda"/>
              <w:jc w:val="center"/>
              <w:rPr>
                <w:rFonts w:cs="Arial"/>
                <w:color w:val="000000" w:themeColor="text1"/>
                <w:sz w:val="22"/>
                <w:szCs w:val="22"/>
              </w:rPr>
            </w:pPr>
            <w:r>
              <w:rPr>
                <w:rFonts w:cs="Arial"/>
                <w:color w:val="000000" w:themeColor="text1"/>
                <w:sz w:val="22"/>
                <w:szCs w:val="22"/>
              </w:rPr>
              <w:t>11.1.3</w:t>
            </w:r>
          </w:p>
        </w:tc>
        <w:tc>
          <w:tcPr>
            <w:tcW w:w="1525" w:type="pct"/>
            <w:vAlign w:val="center"/>
          </w:tcPr>
          <w:p w:rsidR="00200E05" w:rsidRPr="0026083C" w:rsidRDefault="00200E05" w:rsidP="00200E05">
            <w:pPr>
              <w:pStyle w:val="Legenda"/>
              <w:jc w:val="both"/>
              <w:rPr>
                <w:rFonts w:cs="Arial"/>
                <w:color w:val="000000" w:themeColor="text1"/>
                <w:sz w:val="22"/>
                <w:szCs w:val="22"/>
              </w:rPr>
            </w:pPr>
          </w:p>
        </w:tc>
        <w:tc>
          <w:tcPr>
            <w:tcW w:w="1945" w:type="pct"/>
            <w:vAlign w:val="center"/>
          </w:tcPr>
          <w:p w:rsidR="00200E05" w:rsidRPr="00365A2A" w:rsidRDefault="00E80A6E" w:rsidP="008B1682">
            <w:pPr>
              <w:pStyle w:val="Legenda"/>
              <w:jc w:val="both"/>
              <w:rPr>
                <w:rFonts w:cs="Arial"/>
                <w:color w:val="000000"/>
                <w:sz w:val="22"/>
                <w:szCs w:val="22"/>
                <w:lang w:eastAsia="en-US"/>
              </w:rPr>
            </w:pPr>
            <w:r>
              <w:rPr>
                <w:rFonts w:cs="Arial"/>
                <w:color w:val="000000"/>
                <w:sz w:val="22"/>
                <w:szCs w:val="22"/>
                <w:lang w:eastAsia="en-US"/>
              </w:rPr>
              <w:t xml:space="preserve">O comissionamento ocorre com a produção iniciada e é necessário para a conclusão da instalação dos sistemas de aproveitamento ou </w:t>
            </w:r>
            <w:proofErr w:type="spellStart"/>
            <w:r>
              <w:rPr>
                <w:rFonts w:cs="Arial"/>
                <w:color w:val="000000"/>
                <w:sz w:val="22"/>
                <w:szCs w:val="22"/>
                <w:lang w:eastAsia="en-US"/>
              </w:rPr>
              <w:t>reinjeção</w:t>
            </w:r>
            <w:proofErr w:type="spellEnd"/>
            <w:r>
              <w:rPr>
                <w:rFonts w:cs="Arial"/>
                <w:color w:val="000000"/>
                <w:sz w:val="22"/>
                <w:szCs w:val="22"/>
                <w:lang w:eastAsia="en-US"/>
              </w:rPr>
              <w:t xml:space="preserve"> de Gás Natural.</w:t>
            </w:r>
          </w:p>
        </w:tc>
      </w:tr>
      <w:tr w:rsidR="00200E05" w:rsidRPr="00697392" w:rsidTr="00C8239C">
        <w:trPr>
          <w:trHeight w:val="2268"/>
        </w:trPr>
        <w:tc>
          <w:tcPr>
            <w:tcW w:w="551" w:type="pct"/>
            <w:vAlign w:val="center"/>
          </w:tcPr>
          <w:p w:rsidR="00200E05" w:rsidRDefault="00200E05" w:rsidP="00200E05">
            <w:pPr>
              <w:pStyle w:val="Legenda"/>
              <w:jc w:val="center"/>
              <w:rPr>
                <w:rFonts w:cs="Arial"/>
                <w:color w:val="000000" w:themeColor="text1"/>
                <w:sz w:val="22"/>
                <w:szCs w:val="22"/>
              </w:rPr>
            </w:pPr>
            <w:r>
              <w:rPr>
                <w:rFonts w:cs="Arial"/>
                <w:color w:val="000000" w:themeColor="text1"/>
                <w:sz w:val="22"/>
                <w:szCs w:val="22"/>
              </w:rPr>
              <w:t>Minuta do Contrato de Concessão</w:t>
            </w:r>
          </w:p>
        </w:tc>
        <w:tc>
          <w:tcPr>
            <w:tcW w:w="616" w:type="pct"/>
            <w:vAlign w:val="center"/>
          </w:tcPr>
          <w:p w:rsidR="00200E05" w:rsidRDefault="002B38EB" w:rsidP="00200E05">
            <w:pPr>
              <w:pStyle w:val="Legenda"/>
              <w:jc w:val="center"/>
              <w:rPr>
                <w:rFonts w:cs="Arial"/>
                <w:color w:val="000000" w:themeColor="text1"/>
                <w:sz w:val="22"/>
                <w:szCs w:val="22"/>
              </w:rPr>
            </w:pPr>
            <w:r>
              <w:rPr>
                <w:rFonts w:cs="Arial"/>
                <w:color w:val="000000" w:themeColor="text1"/>
                <w:sz w:val="22"/>
                <w:szCs w:val="22"/>
              </w:rPr>
              <w:t>Alteração</w:t>
            </w:r>
          </w:p>
        </w:tc>
        <w:tc>
          <w:tcPr>
            <w:tcW w:w="363" w:type="pct"/>
            <w:vAlign w:val="center"/>
          </w:tcPr>
          <w:p w:rsidR="00200E05" w:rsidRDefault="002B38EB" w:rsidP="00200E05">
            <w:pPr>
              <w:pStyle w:val="Legenda"/>
              <w:jc w:val="center"/>
              <w:rPr>
                <w:rFonts w:cs="Arial"/>
                <w:color w:val="000000" w:themeColor="text1"/>
                <w:sz w:val="22"/>
                <w:szCs w:val="22"/>
              </w:rPr>
            </w:pPr>
            <w:r>
              <w:rPr>
                <w:rFonts w:cs="Arial"/>
                <w:color w:val="000000" w:themeColor="text1"/>
                <w:sz w:val="22"/>
                <w:szCs w:val="22"/>
              </w:rPr>
              <w:t>11.2.1</w:t>
            </w:r>
          </w:p>
        </w:tc>
        <w:tc>
          <w:tcPr>
            <w:tcW w:w="1525" w:type="pct"/>
            <w:vAlign w:val="center"/>
          </w:tcPr>
          <w:p w:rsidR="00200E05" w:rsidRPr="0026083C" w:rsidRDefault="009C70F0" w:rsidP="00200E05">
            <w:pPr>
              <w:pStyle w:val="Legenda"/>
              <w:jc w:val="both"/>
              <w:rPr>
                <w:rFonts w:cs="Arial"/>
                <w:color w:val="000000" w:themeColor="text1"/>
                <w:sz w:val="22"/>
                <w:szCs w:val="22"/>
              </w:rPr>
            </w:pPr>
            <w:r w:rsidRPr="009C70F0">
              <w:rPr>
                <w:rFonts w:cs="Arial"/>
                <w:color w:val="000000" w:themeColor="text1"/>
                <w:sz w:val="22"/>
                <w:szCs w:val="22"/>
              </w:rPr>
              <w:t>Eventual variação igual ou superior a 10% (dez por cento) deverá ser</w:t>
            </w:r>
            <w:r>
              <w:rPr>
                <w:rFonts w:cs="Arial"/>
                <w:color w:val="000000" w:themeColor="text1"/>
                <w:sz w:val="22"/>
                <w:szCs w:val="22"/>
              </w:rPr>
              <w:t xml:space="preserve"> tecnicamente fundamentada, exceto nos casos em que decorrer de </w:t>
            </w:r>
            <w:r w:rsidRPr="009C70F0">
              <w:rPr>
                <w:rFonts w:cs="Arial"/>
                <w:color w:val="000000" w:themeColor="text1"/>
                <w:sz w:val="22"/>
                <w:szCs w:val="22"/>
              </w:rPr>
              <w:t>caso fortuito, força maior ou causas similares a serem avaliados pela ANP.</w:t>
            </w:r>
          </w:p>
        </w:tc>
        <w:tc>
          <w:tcPr>
            <w:tcW w:w="1945" w:type="pct"/>
            <w:vAlign w:val="center"/>
          </w:tcPr>
          <w:p w:rsidR="00200E05" w:rsidRPr="00365A2A" w:rsidRDefault="009C70F0" w:rsidP="008B1682">
            <w:pPr>
              <w:pStyle w:val="Legenda"/>
              <w:jc w:val="both"/>
              <w:rPr>
                <w:rFonts w:cs="Arial"/>
                <w:color w:val="000000"/>
                <w:sz w:val="22"/>
                <w:szCs w:val="22"/>
                <w:lang w:eastAsia="en-US"/>
              </w:rPr>
            </w:pPr>
            <w:r>
              <w:rPr>
                <w:rFonts w:cs="Arial"/>
                <w:color w:val="000000"/>
                <w:sz w:val="22"/>
                <w:szCs w:val="22"/>
                <w:lang w:eastAsia="en-US"/>
              </w:rPr>
              <w:t>Esclarecimento de que as alterações devem ser fundamentadas com base em dados técnicos.</w:t>
            </w:r>
          </w:p>
        </w:tc>
      </w:tr>
      <w:tr w:rsidR="00200E05" w:rsidRPr="00697392" w:rsidTr="00C8239C">
        <w:trPr>
          <w:trHeight w:val="2268"/>
        </w:trPr>
        <w:tc>
          <w:tcPr>
            <w:tcW w:w="551" w:type="pct"/>
            <w:vAlign w:val="center"/>
          </w:tcPr>
          <w:p w:rsidR="00200E05" w:rsidRDefault="00200E05" w:rsidP="00200E05">
            <w:pPr>
              <w:pStyle w:val="Legenda"/>
              <w:jc w:val="center"/>
              <w:rPr>
                <w:rFonts w:cs="Arial"/>
                <w:color w:val="000000" w:themeColor="text1"/>
                <w:sz w:val="22"/>
                <w:szCs w:val="22"/>
              </w:rPr>
            </w:pPr>
            <w:r>
              <w:rPr>
                <w:rFonts w:cs="Arial"/>
                <w:color w:val="000000" w:themeColor="text1"/>
                <w:sz w:val="22"/>
                <w:szCs w:val="22"/>
              </w:rPr>
              <w:lastRenderedPageBreak/>
              <w:t>Minuta do Contrato de Concessão</w:t>
            </w:r>
          </w:p>
        </w:tc>
        <w:tc>
          <w:tcPr>
            <w:tcW w:w="616" w:type="pct"/>
            <w:vAlign w:val="center"/>
          </w:tcPr>
          <w:p w:rsidR="00200E05" w:rsidRDefault="00BB0F1C" w:rsidP="00200E05">
            <w:pPr>
              <w:pStyle w:val="Legenda"/>
              <w:jc w:val="center"/>
              <w:rPr>
                <w:rFonts w:cs="Arial"/>
                <w:color w:val="000000" w:themeColor="text1"/>
                <w:sz w:val="22"/>
                <w:szCs w:val="22"/>
              </w:rPr>
            </w:pPr>
            <w:r>
              <w:rPr>
                <w:rFonts w:cs="Arial"/>
                <w:color w:val="000000" w:themeColor="text1"/>
                <w:sz w:val="22"/>
                <w:szCs w:val="22"/>
              </w:rPr>
              <w:t>Alteração</w:t>
            </w:r>
          </w:p>
        </w:tc>
        <w:tc>
          <w:tcPr>
            <w:tcW w:w="363" w:type="pct"/>
            <w:vAlign w:val="center"/>
          </w:tcPr>
          <w:p w:rsidR="00200E05" w:rsidRDefault="00BB0F1C" w:rsidP="00200E05">
            <w:pPr>
              <w:pStyle w:val="Legenda"/>
              <w:jc w:val="center"/>
              <w:rPr>
                <w:rFonts w:cs="Arial"/>
                <w:color w:val="000000" w:themeColor="text1"/>
                <w:sz w:val="22"/>
                <w:szCs w:val="22"/>
              </w:rPr>
            </w:pPr>
            <w:r>
              <w:rPr>
                <w:rFonts w:cs="Arial"/>
                <w:color w:val="000000" w:themeColor="text1"/>
                <w:sz w:val="22"/>
                <w:szCs w:val="22"/>
              </w:rPr>
              <w:t>12.7</w:t>
            </w:r>
          </w:p>
        </w:tc>
        <w:tc>
          <w:tcPr>
            <w:tcW w:w="1525" w:type="pct"/>
            <w:vAlign w:val="center"/>
          </w:tcPr>
          <w:p w:rsidR="00200E05" w:rsidRPr="0026083C" w:rsidRDefault="00C55F31" w:rsidP="00200E05">
            <w:pPr>
              <w:pStyle w:val="Legenda"/>
              <w:jc w:val="both"/>
              <w:rPr>
                <w:rFonts w:cs="Arial"/>
                <w:color w:val="000000" w:themeColor="text1"/>
                <w:sz w:val="22"/>
                <w:szCs w:val="22"/>
              </w:rPr>
            </w:pPr>
            <w:r>
              <w:rPr>
                <w:rFonts w:cs="Arial"/>
                <w:color w:val="000000" w:themeColor="text1"/>
                <w:sz w:val="22"/>
                <w:szCs w:val="22"/>
              </w:rPr>
              <w:t xml:space="preserve">Os dados, informações e resultados oriundos </w:t>
            </w:r>
            <w:r w:rsidRPr="00C55F31">
              <w:rPr>
                <w:rFonts w:cs="Arial"/>
                <w:color w:val="000000" w:themeColor="text1"/>
                <w:sz w:val="22"/>
                <w:szCs w:val="22"/>
              </w:rPr>
              <w:t>dos testes de formação, Testes de Longa Duração ou Sistemas de Produção Antecipada durante a execução das Operações deste Contrato deverão ser enviados à ANP imediatamente após a sua obtenção, conclusão ou conforme prazo definido na Legislação Aplicável</w:t>
            </w:r>
            <w:r>
              <w:rPr>
                <w:rFonts w:cs="Arial"/>
                <w:color w:val="000000" w:themeColor="text1"/>
                <w:sz w:val="22"/>
                <w:szCs w:val="22"/>
              </w:rPr>
              <w:t>.</w:t>
            </w:r>
          </w:p>
        </w:tc>
        <w:tc>
          <w:tcPr>
            <w:tcW w:w="1945" w:type="pct"/>
            <w:vAlign w:val="center"/>
          </w:tcPr>
          <w:p w:rsidR="00200E05" w:rsidRPr="00365A2A" w:rsidRDefault="00C55F31" w:rsidP="008B1682">
            <w:pPr>
              <w:pStyle w:val="Legenda"/>
              <w:jc w:val="both"/>
              <w:rPr>
                <w:rFonts w:cs="Arial"/>
                <w:color w:val="000000"/>
                <w:sz w:val="22"/>
                <w:szCs w:val="22"/>
                <w:lang w:eastAsia="en-US"/>
              </w:rPr>
            </w:pPr>
            <w:r>
              <w:rPr>
                <w:rFonts w:cs="Arial"/>
                <w:color w:val="000000"/>
                <w:sz w:val="22"/>
                <w:szCs w:val="22"/>
                <w:lang w:eastAsia="en-US"/>
              </w:rPr>
              <w:t>Modelos estático e dinâmicos de Reservatório são parte do conhecimento das empresas, constituem segredo de negócio e não deveriam ser enviados a qualquer entidade externa, incluindo o Órgão Regulador.</w:t>
            </w:r>
          </w:p>
        </w:tc>
      </w:tr>
      <w:tr w:rsidR="00200E05" w:rsidRPr="00697392" w:rsidTr="00C8239C">
        <w:trPr>
          <w:trHeight w:val="2268"/>
        </w:trPr>
        <w:tc>
          <w:tcPr>
            <w:tcW w:w="551" w:type="pct"/>
            <w:vAlign w:val="center"/>
          </w:tcPr>
          <w:p w:rsidR="00200E05" w:rsidRDefault="00200E05" w:rsidP="00200E05">
            <w:pPr>
              <w:pStyle w:val="Legenda"/>
              <w:jc w:val="center"/>
              <w:rPr>
                <w:rFonts w:cs="Arial"/>
                <w:color w:val="000000" w:themeColor="text1"/>
                <w:sz w:val="22"/>
                <w:szCs w:val="22"/>
              </w:rPr>
            </w:pPr>
            <w:r>
              <w:rPr>
                <w:rFonts w:cs="Arial"/>
                <w:color w:val="000000" w:themeColor="text1"/>
                <w:sz w:val="22"/>
                <w:szCs w:val="22"/>
              </w:rPr>
              <w:t>Minuta do Contrato de Concessão</w:t>
            </w:r>
          </w:p>
        </w:tc>
        <w:tc>
          <w:tcPr>
            <w:tcW w:w="616" w:type="pct"/>
            <w:vAlign w:val="center"/>
          </w:tcPr>
          <w:p w:rsidR="00200E05" w:rsidRDefault="0091548E" w:rsidP="00200E05">
            <w:pPr>
              <w:pStyle w:val="Legenda"/>
              <w:jc w:val="center"/>
              <w:rPr>
                <w:rFonts w:cs="Arial"/>
                <w:color w:val="000000" w:themeColor="text1"/>
                <w:sz w:val="22"/>
                <w:szCs w:val="22"/>
              </w:rPr>
            </w:pPr>
            <w:r>
              <w:rPr>
                <w:rFonts w:cs="Arial"/>
                <w:color w:val="000000" w:themeColor="text1"/>
                <w:sz w:val="22"/>
                <w:szCs w:val="22"/>
              </w:rPr>
              <w:t>Alteração</w:t>
            </w:r>
          </w:p>
        </w:tc>
        <w:tc>
          <w:tcPr>
            <w:tcW w:w="363" w:type="pct"/>
            <w:vAlign w:val="center"/>
          </w:tcPr>
          <w:p w:rsidR="00200E05" w:rsidRDefault="0091548E" w:rsidP="00200E05">
            <w:pPr>
              <w:pStyle w:val="Legenda"/>
              <w:jc w:val="center"/>
              <w:rPr>
                <w:rFonts w:cs="Arial"/>
                <w:color w:val="000000" w:themeColor="text1"/>
                <w:sz w:val="22"/>
                <w:szCs w:val="22"/>
              </w:rPr>
            </w:pPr>
            <w:r>
              <w:rPr>
                <w:rFonts w:cs="Arial"/>
                <w:color w:val="000000" w:themeColor="text1"/>
                <w:sz w:val="22"/>
                <w:szCs w:val="22"/>
              </w:rPr>
              <w:t>14.20.4</w:t>
            </w:r>
          </w:p>
        </w:tc>
        <w:tc>
          <w:tcPr>
            <w:tcW w:w="1525" w:type="pct"/>
            <w:vAlign w:val="center"/>
          </w:tcPr>
          <w:p w:rsidR="00200E05" w:rsidRPr="0026083C" w:rsidRDefault="0091548E" w:rsidP="00200E05">
            <w:pPr>
              <w:pStyle w:val="Legenda"/>
              <w:jc w:val="both"/>
              <w:rPr>
                <w:rFonts w:cs="Arial"/>
                <w:color w:val="000000" w:themeColor="text1"/>
                <w:sz w:val="22"/>
                <w:szCs w:val="22"/>
              </w:rPr>
            </w:pPr>
            <w:r w:rsidRPr="0091548E">
              <w:rPr>
                <w:rFonts w:cs="Arial"/>
                <w:color w:val="000000" w:themeColor="text1"/>
                <w:sz w:val="22"/>
                <w:szCs w:val="22"/>
              </w:rPr>
              <w:t>Operações fora dos limites da Área de Concessão não serão consideradas para efeito de abatimento do Pro</w:t>
            </w:r>
            <w:r>
              <w:rPr>
                <w:rFonts w:cs="Arial"/>
                <w:color w:val="000000" w:themeColor="text1"/>
                <w:sz w:val="22"/>
                <w:szCs w:val="22"/>
              </w:rPr>
              <w:t>grama Exploratório Mínimo, exceto em casos autorizados pela ANP, como o levantamento de dados sísmicos em áreas adjacentes.</w:t>
            </w:r>
          </w:p>
        </w:tc>
        <w:tc>
          <w:tcPr>
            <w:tcW w:w="1945" w:type="pct"/>
            <w:vAlign w:val="center"/>
          </w:tcPr>
          <w:p w:rsidR="00200E05" w:rsidRPr="00365A2A" w:rsidRDefault="0091548E" w:rsidP="008B1682">
            <w:pPr>
              <w:pStyle w:val="Legenda"/>
              <w:jc w:val="both"/>
              <w:rPr>
                <w:rFonts w:cs="Arial"/>
                <w:color w:val="000000"/>
                <w:sz w:val="22"/>
                <w:szCs w:val="22"/>
                <w:lang w:eastAsia="en-US"/>
              </w:rPr>
            </w:pPr>
            <w:r w:rsidRPr="001B103F">
              <w:rPr>
                <w:rFonts w:cs="Arial"/>
                <w:color w:val="000000" w:themeColor="text1"/>
                <w:sz w:val="22"/>
                <w:szCs w:val="22"/>
              </w:rPr>
              <w:t xml:space="preserve">Para o </w:t>
            </w:r>
            <w:proofErr w:type="spellStart"/>
            <w:r w:rsidRPr="001B103F">
              <w:rPr>
                <w:rFonts w:cs="Arial"/>
                <w:color w:val="000000" w:themeColor="text1"/>
                <w:sz w:val="22"/>
                <w:szCs w:val="22"/>
              </w:rPr>
              <w:t>imageamento</w:t>
            </w:r>
            <w:proofErr w:type="spellEnd"/>
            <w:r w:rsidRPr="001B103F">
              <w:rPr>
                <w:rFonts w:cs="Arial"/>
                <w:color w:val="000000" w:themeColor="text1"/>
                <w:sz w:val="22"/>
                <w:szCs w:val="22"/>
              </w:rPr>
              <w:t xml:space="preserve"> do bloco em sub superfície, em sua totalidade e com qualidade, é necessário uma área adicional fora dos limites do bloco, cujas dimensões depende da profundidade e inclinação dos objetivos geológicos.</w:t>
            </w:r>
          </w:p>
        </w:tc>
      </w:tr>
      <w:tr w:rsidR="00200E05" w:rsidRPr="00697392" w:rsidTr="00C8239C">
        <w:trPr>
          <w:trHeight w:val="2268"/>
        </w:trPr>
        <w:tc>
          <w:tcPr>
            <w:tcW w:w="551" w:type="pct"/>
            <w:vAlign w:val="center"/>
          </w:tcPr>
          <w:p w:rsidR="00200E05" w:rsidRDefault="00200E05" w:rsidP="00200E05">
            <w:pPr>
              <w:pStyle w:val="Legenda"/>
              <w:jc w:val="center"/>
              <w:rPr>
                <w:rFonts w:cs="Arial"/>
                <w:color w:val="000000" w:themeColor="text1"/>
                <w:sz w:val="22"/>
                <w:szCs w:val="22"/>
              </w:rPr>
            </w:pPr>
            <w:r>
              <w:rPr>
                <w:rFonts w:cs="Arial"/>
                <w:color w:val="000000" w:themeColor="text1"/>
                <w:sz w:val="22"/>
                <w:szCs w:val="22"/>
              </w:rPr>
              <w:t>Minuta do Contrato de Concessão</w:t>
            </w:r>
          </w:p>
        </w:tc>
        <w:tc>
          <w:tcPr>
            <w:tcW w:w="616" w:type="pct"/>
            <w:vAlign w:val="center"/>
          </w:tcPr>
          <w:p w:rsidR="00200E05" w:rsidRDefault="00435B7B" w:rsidP="00200E05">
            <w:pPr>
              <w:pStyle w:val="Legenda"/>
              <w:jc w:val="center"/>
              <w:rPr>
                <w:rFonts w:cs="Arial"/>
                <w:color w:val="000000" w:themeColor="text1"/>
                <w:sz w:val="22"/>
                <w:szCs w:val="22"/>
              </w:rPr>
            </w:pPr>
            <w:r>
              <w:rPr>
                <w:rFonts w:cs="Arial"/>
                <w:color w:val="000000" w:themeColor="text1"/>
                <w:sz w:val="22"/>
                <w:szCs w:val="22"/>
              </w:rPr>
              <w:t>Alteração</w:t>
            </w:r>
          </w:p>
        </w:tc>
        <w:tc>
          <w:tcPr>
            <w:tcW w:w="363" w:type="pct"/>
            <w:vAlign w:val="center"/>
          </w:tcPr>
          <w:p w:rsidR="00200E05" w:rsidRDefault="00435B7B" w:rsidP="00200E05">
            <w:pPr>
              <w:pStyle w:val="Legenda"/>
              <w:jc w:val="center"/>
              <w:rPr>
                <w:rFonts w:cs="Arial"/>
                <w:color w:val="000000" w:themeColor="text1"/>
                <w:sz w:val="22"/>
                <w:szCs w:val="22"/>
              </w:rPr>
            </w:pPr>
            <w:r>
              <w:rPr>
                <w:rFonts w:cs="Arial"/>
                <w:color w:val="000000" w:themeColor="text1"/>
                <w:sz w:val="22"/>
                <w:szCs w:val="22"/>
              </w:rPr>
              <w:t>17.1.1</w:t>
            </w:r>
          </w:p>
        </w:tc>
        <w:tc>
          <w:tcPr>
            <w:tcW w:w="1525" w:type="pct"/>
            <w:vAlign w:val="center"/>
          </w:tcPr>
          <w:p w:rsidR="00200E05" w:rsidRPr="0026083C" w:rsidRDefault="00435B7B" w:rsidP="00200E05">
            <w:pPr>
              <w:pStyle w:val="Legenda"/>
              <w:jc w:val="both"/>
              <w:rPr>
                <w:rFonts w:cs="Arial"/>
                <w:color w:val="000000" w:themeColor="text1"/>
                <w:sz w:val="22"/>
                <w:szCs w:val="22"/>
              </w:rPr>
            </w:pPr>
            <w:r w:rsidRPr="00435B7B">
              <w:rPr>
                <w:rFonts w:cs="Arial"/>
                <w:color w:val="000000" w:themeColor="text1"/>
                <w:sz w:val="22"/>
                <w:szCs w:val="22"/>
              </w:rPr>
              <w:t>O Concessionário enviará à ANP, na forma por esta determinada, cópias de mapas, seções, perfis, estudos,</w:t>
            </w:r>
            <w:r>
              <w:t xml:space="preserve"> </w:t>
            </w:r>
            <w:r w:rsidRPr="00435B7B">
              <w:rPr>
                <w:rFonts w:cs="Arial"/>
                <w:color w:val="000000" w:themeColor="text1"/>
                <w:sz w:val="22"/>
                <w:szCs w:val="22"/>
              </w:rPr>
              <w:t>outros dados e informações geológicas, geoquímicas e geofísicas, inclusive dados de poços,</w:t>
            </w:r>
            <w:r>
              <w:t xml:space="preserve"> </w:t>
            </w:r>
            <w:r w:rsidRPr="00435B7B">
              <w:rPr>
                <w:rFonts w:cs="Arial"/>
                <w:color w:val="000000" w:themeColor="text1"/>
                <w:sz w:val="22"/>
                <w:szCs w:val="22"/>
              </w:rPr>
              <w:t>obtidos de testes, além de relatórios ou quaisquer outros documentos definidos em regulamentação específica e obtidos como resultado das Operações e deste Contrato que contenham informações necessárias para a caracterização do progresso dos trabalhos e do conhecimento geológico da Área de Concessão.</w:t>
            </w:r>
          </w:p>
        </w:tc>
        <w:tc>
          <w:tcPr>
            <w:tcW w:w="1945" w:type="pct"/>
            <w:vAlign w:val="center"/>
          </w:tcPr>
          <w:p w:rsidR="00200E05" w:rsidRPr="00365A2A" w:rsidRDefault="00435B7B" w:rsidP="008B1682">
            <w:pPr>
              <w:pStyle w:val="Legenda"/>
              <w:jc w:val="both"/>
              <w:rPr>
                <w:rFonts w:cs="Arial"/>
                <w:color w:val="000000"/>
                <w:sz w:val="22"/>
                <w:szCs w:val="22"/>
                <w:lang w:eastAsia="en-US"/>
              </w:rPr>
            </w:pPr>
            <w:r>
              <w:rPr>
                <w:rFonts w:cs="Arial"/>
                <w:color w:val="000000"/>
                <w:sz w:val="22"/>
                <w:szCs w:val="22"/>
                <w:lang w:eastAsia="en-US"/>
              </w:rPr>
              <w:t>Modelos e interpretações são parte do conhecimento das empresas, constituem segredo de negócio e não deveriam ser enviados a qualquer entidade externa, incluindo o Órgão Regulador.</w:t>
            </w:r>
          </w:p>
        </w:tc>
      </w:tr>
      <w:tr w:rsidR="00200E05" w:rsidRPr="00697392" w:rsidTr="00C8239C">
        <w:trPr>
          <w:trHeight w:val="2268"/>
        </w:trPr>
        <w:tc>
          <w:tcPr>
            <w:tcW w:w="551" w:type="pct"/>
            <w:vAlign w:val="center"/>
          </w:tcPr>
          <w:p w:rsidR="00200E05" w:rsidRDefault="00200E05" w:rsidP="00200E05">
            <w:pPr>
              <w:pStyle w:val="Legenda"/>
              <w:jc w:val="center"/>
              <w:rPr>
                <w:rFonts w:cs="Arial"/>
                <w:color w:val="000000" w:themeColor="text1"/>
                <w:sz w:val="22"/>
                <w:szCs w:val="22"/>
              </w:rPr>
            </w:pPr>
            <w:r>
              <w:rPr>
                <w:rFonts w:cs="Arial"/>
                <w:color w:val="000000" w:themeColor="text1"/>
                <w:sz w:val="22"/>
                <w:szCs w:val="22"/>
              </w:rPr>
              <w:lastRenderedPageBreak/>
              <w:t>Minuta do Contrato de Concessão</w:t>
            </w:r>
          </w:p>
        </w:tc>
        <w:tc>
          <w:tcPr>
            <w:tcW w:w="616" w:type="pct"/>
            <w:vAlign w:val="center"/>
          </w:tcPr>
          <w:p w:rsidR="00200E05" w:rsidRDefault="00435B7B" w:rsidP="00200E05">
            <w:pPr>
              <w:pStyle w:val="Legenda"/>
              <w:jc w:val="center"/>
              <w:rPr>
                <w:rFonts w:cs="Arial"/>
                <w:color w:val="000000" w:themeColor="text1"/>
                <w:sz w:val="22"/>
                <w:szCs w:val="22"/>
              </w:rPr>
            </w:pPr>
            <w:r>
              <w:rPr>
                <w:rFonts w:cs="Arial"/>
                <w:color w:val="000000" w:themeColor="text1"/>
                <w:sz w:val="22"/>
                <w:szCs w:val="22"/>
              </w:rPr>
              <w:t>Alteração</w:t>
            </w:r>
          </w:p>
        </w:tc>
        <w:tc>
          <w:tcPr>
            <w:tcW w:w="363" w:type="pct"/>
            <w:vAlign w:val="center"/>
          </w:tcPr>
          <w:p w:rsidR="00200E05" w:rsidRDefault="00435B7B" w:rsidP="00200E05">
            <w:pPr>
              <w:pStyle w:val="Legenda"/>
              <w:jc w:val="center"/>
              <w:rPr>
                <w:rFonts w:cs="Arial"/>
                <w:color w:val="000000" w:themeColor="text1"/>
                <w:sz w:val="22"/>
                <w:szCs w:val="22"/>
              </w:rPr>
            </w:pPr>
            <w:r>
              <w:rPr>
                <w:rFonts w:cs="Arial"/>
                <w:color w:val="000000" w:themeColor="text1"/>
                <w:sz w:val="22"/>
                <w:szCs w:val="22"/>
              </w:rPr>
              <w:t>17.1.2</w:t>
            </w:r>
          </w:p>
        </w:tc>
        <w:tc>
          <w:tcPr>
            <w:tcW w:w="1525" w:type="pct"/>
            <w:vAlign w:val="center"/>
          </w:tcPr>
          <w:p w:rsidR="00200E05" w:rsidRPr="0026083C" w:rsidRDefault="00435B7B" w:rsidP="00200E05">
            <w:pPr>
              <w:pStyle w:val="Legenda"/>
              <w:jc w:val="both"/>
              <w:rPr>
                <w:rFonts w:cs="Arial"/>
                <w:color w:val="000000" w:themeColor="text1"/>
                <w:sz w:val="22"/>
                <w:szCs w:val="22"/>
              </w:rPr>
            </w:pPr>
            <w:r w:rsidRPr="00435B7B">
              <w:rPr>
                <w:rFonts w:cs="Arial"/>
                <w:color w:val="000000" w:themeColor="text1"/>
                <w:sz w:val="22"/>
                <w:szCs w:val="22"/>
              </w:rPr>
              <w:t>Nos termos do art. 22 da Lei nº 9.478/1971997, o acervo técnico constituído pelos dados e informações sobre as bacias sedimentares brasileiras é parte integrante dos recursos petrolíferos nacionais, devendo tais dados e informações, inclusive os referentes à</w:t>
            </w:r>
            <w:r>
              <w:t xml:space="preserve"> </w:t>
            </w:r>
            <w:r w:rsidRPr="00435B7B">
              <w:rPr>
                <w:rFonts w:cs="Arial"/>
                <w:color w:val="000000" w:themeColor="text1"/>
                <w:sz w:val="22"/>
                <w:szCs w:val="22"/>
              </w:rPr>
              <w:t>geofísica e geoquímica da Área de Concessão, ser entregues pelo Concessionário à ANP.</w:t>
            </w:r>
          </w:p>
        </w:tc>
        <w:tc>
          <w:tcPr>
            <w:tcW w:w="1945" w:type="pct"/>
            <w:vAlign w:val="center"/>
          </w:tcPr>
          <w:p w:rsidR="00200E05" w:rsidRPr="00365A2A" w:rsidRDefault="00435B7B" w:rsidP="008B1682">
            <w:pPr>
              <w:pStyle w:val="Legenda"/>
              <w:jc w:val="both"/>
              <w:rPr>
                <w:rFonts w:cs="Arial"/>
                <w:color w:val="000000"/>
                <w:sz w:val="22"/>
                <w:szCs w:val="22"/>
                <w:lang w:eastAsia="en-US"/>
              </w:rPr>
            </w:pPr>
            <w:r>
              <w:rPr>
                <w:rFonts w:cs="Arial"/>
                <w:color w:val="000000"/>
                <w:sz w:val="22"/>
                <w:szCs w:val="22"/>
                <w:lang w:eastAsia="en-US"/>
              </w:rPr>
              <w:t>Modelos e interpretações são parte do conhecimento das empresas, constituem segredo de negócio e não deveriam ser enviados a qualquer entidade externa, incluindo o Órgão Regulador.</w:t>
            </w:r>
          </w:p>
        </w:tc>
      </w:tr>
      <w:tr w:rsidR="00C8239C" w:rsidRPr="00697392" w:rsidTr="00C8239C">
        <w:trPr>
          <w:trHeight w:val="2268"/>
        </w:trPr>
        <w:tc>
          <w:tcPr>
            <w:tcW w:w="551" w:type="pct"/>
            <w:vAlign w:val="center"/>
          </w:tcPr>
          <w:p w:rsidR="00C8239C" w:rsidRDefault="00C8239C" w:rsidP="00C8239C">
            <w:pPr>
              <w:pStyle w:val="Legenda"/>
              <w:jc w:val="center"/>
              <w:rPr>
                <w:rFonts w:cs="Arial"/>
                <w:color w:val="000000" w:themeColor="text1"/>
                <w:sz w:val="22"/>
                <w:szCs w:val="22"/>
              </w:rPr>
            </w:pPr>
            <w:r>
              <w:rPr>
                <w:rFonts w:cs="Arial"/>
                <w:color w:val="000000" w:themeColor="text1"/>
                <w:sz w:val="22"/>
                <w:szCs w:val="22"/>
              </w:rPr>
              <w:t>Minuta do Contrato de Concessão</w:t>
            </w:r>
          </w:p>
        </w:tc>
        <w:tc>
          <w:tcPr>
            <w:tcW w:w="616" w:type="pct"/>
            <w:vAlign w:val="center"/>
          </w:tcPr>
          <w:p w:rsidR="00C8239C" w:rsidRDefault="00C8239C" w:rsidP="00C8239C">
            <w:pPr>
              <w:pStyle w:val="Legenda"/>
              <w:jc w:val="center"/>
              <w:rPr>
                <w:rFonts w:cs="Arial"/>
                <w:color w:val="000000" w:themeColor="text1"/>
                <w:sz w:val="22"/>
                <w:szCs w:val="22"/>
              </w:rPr>
            </w:pPr>
            <w:r>
              <w:rPr>
                <w:rFonts w:cs="Arial"/>
                <w:color w:val="000000" w:themeColor="text1"/>
                <w:sz w:val="22"/>
                <w:szCs w:val="22"/>
              </w:rPr>
              <w:t>Alteração</w:t>
            </w:r>
          </w:p>
        </w:tc>
        <w:tc>
          <w:tcPr>
            <w:tcW w:w="363" w:type="pct"/>
            <w:vAlign w:val="center"/>
          </w:tcPr>
          <w:p w:rsidR="00C8239C" w:rsidRDefault="00C8239C" w:rsidP="00C8239C">
            <w:pPr>
              <w:pStyle w:val="Legenda"/>
              <w:jc w:val="center"/>
              <w:rPr>
                <w:rFonts w:cs="Arial"/>
                <w:color w:val="000000" w:themeColor="text1"/>
                <w:sz w:val="22"/>
                <w:szCs w:val="22"/>
              </w:rPr>
            </w:pPr>
            <w:r>
              <w:rPr>
                <w:rFonts w:cs="Arial"/>
                <w:color w:val="000000" w:themeColor="text1"/>
                <w:sz w:val="22"/>
                <w:szCs w:val="22"/>
              </w:rPr>
              <w:t>20.1</w:t>
            </w:r>
          </w:p>
        </w:tc>
        <w:tc>
          <w:tcPr>
            <w:tcW w:w="1525" w:type="pct"/>
            <w:vAlign w:val="center"/>
          </w:tcPr>
          <w:p w:rsidR="00C8239C" w:rsidRDefault="00C8239C" w:rsidP="00C8239C">
            <w:pPr>
              <w:pStyle w:val="Legenda"/>
              <w:jc w:val="both"/>
              <w:rPr>
                <w:rFonts w:cs="Arial"/>
                <w:color w:val="000000" w:themeColor="text1"/>
                <w:sz w:val="22"/>
                <w:szCs w:val="22"/>
              </w:rPr>
            </w:pPr>
            <w:r w:rsidRPr="00C8239C">
              <w:rPr>
                <w:rFonts w:cs="Arial"/>
                <w:color w:val="000000" w:themeColor="text1"/>
                <w:sz w:val="22"/>
                <w:szCs w:val="22"/>
              </w:rPr>
              <w:t>O Concessionário deverá cumprir os seguintes percentuais mínimos obrigatórios de Conteúdo Local Global para os investimentos realizados:</w:t>
            </w:r>
          </w:p>
        </w:tc>
        <w:tc>
          <w:tcPr>
            <w:tcW w:w="1945" w:type="pct"/>
            <w:vAlign w:val="center"/>
          </w:tcPr>
          <w:p w:rsidR="00C8239C" w:rsidRDefault="00C8239C" w:rsidP="00C8239C">
            <w:pPr>
              <w:pStyle w:val="Legenda"/>
              <w:jc w:val="both"/>
              <w:rPr>
                <w:rFonts w:cs="Arial"/>
                <w:color w:val="000000"/>
                <w:sz w:val="22"/>
                <w:szCs w:val="22"/>
                <w:lang w:eastAsia="en-US"/>
              </w:rPr>
            </w:pPr>
            <w:r>
              <w:rPr>
                <w:rFonts w:cs="Arial"/>
                <w:color w:val="000000"/>
                <w:sz w:val="22"/>
                <w:szCs w:val="22"/>
                <w:lang w:eastAsia="en-US"/>
              </w:rPr>
              <w:t>Esclarecer que os compromissos de Conteúdo Local se aplicam aos investimentos realizados.</w:t>
            </w:r>
          </w:p>
        </w:tc>
      </w:tr>
      <w:tr w:rsidR="00C8239C" w:rsidRPr="00697392" w:rsidTr="00C8239C">
        <w:trPr>
          <w:trHeight w:val="2268"/>
        </w:trPr>
        <w:tc>
          <w:tcPr>
            <w:tcW w:w="551" w:type="pct"/>
            <w:vAlign w:val="center"/>
          </w:tcPr>
          <w:p w:rsidR="00C8239C" w:rsidRDefault="00C8239C" w:rsidP="00C8239C">
            <w:pPr>
              <w:pStyle w:val="Legenda"/>
              <w:jc w:val="center"/>
              <w:rPr>
                <w:rFonts w:cs="Arial"/>
                <w:color w:val="000000" w:themeColor="text1"/>
                <w:sz w:val="22"/>
                <w:szCs w:val="22"/>
              </w:rPr>
            </w:pPr>
            <w:r>
              <w:rPr>
                <w:rFonts w:cs="Arial"/>
                <w:color w:val="000000" w:themeColor="text1"/>
                <w:sz w:val="22"/>
                <w:szCs w:val="22"/>
              </w:rPr>
              <w:t>Minuta do Contrato de Concessão</w:t>
            </w:r>
          </w:p>
        </w:tc>
        <w:tc>
          <w:tcPr>
            <w:tcW w:w="616" w:type="pct"/>
            <w:vAlign w:val="center"/>
          </w:tcPr>
          <w:p w:rsidR="00C8239C" w:rsidRDefault="00C8239C" w:rsidP="00C8239C">
            <w:pPr>
              <w:pStyle w:val="Legenda"/>
              <w:jc w:val="center"/>
              <w:rPr>
                <w:rFonts w:cs="Arial"/>
                <w:color w:val="000000" w:themeColor="text1"/>
                <w:sz w:val="22"/>
                <w:szCs w:val="22"/>
              </w:rPr>
            </w:pPr>
            <w:r>
              <w:rPr>
                <w:rFonts w:cs="Arial"/>
                <w:color w:val="000000" w:themeColor="text1"/>
                <w:sz w:val="22"/>
                <w:szCs w:val="22"/>
              </w:rPr>
              <w:t>Alteração</w:t>
            </w:r>
          </w:p>
        </w:tc>
        <w:tc>
          <w:tcPr>
            <w:tcW w:w="363" w:type="pct"/>
            <w:vAlign w:val="center"/>
          </w:tcPr>
          <w:p w:rsidR="00C8239C" w:rsidRDefault="00C8239C" w:rsidP="00C8239C">
            <w:pPr>
              <w:pStyle w:val="Legenda"/>
              <w:jc w:val="center"/>
              <w:rPr>
                <w:rFonts w:cs="Arial"/>
                <w:color w:val="000000" w:themeColor="text1"/>
                <w:sz w:val="22"/>
                <w:szCs w:val="22"/>
              </w:rPr>
            </w:pPr>
            <w:r w:rsidRPr="00C8239C">
              <w:rPr>
                <w:rFonts w:cs="Arial"/>
                <w:color w:val="000000" w:themeColor="text1"/>
                <w:sz w:val="22"/>
                <w:szCs w:val="22"/>
              </w:rPr>
              <w:t>20.3.1</w:t>
            </w:r>
          </w:p>
        </w:tc>
        <w:tc>
          <w:tcPr>
            <w:tcW w:w="1525" w:type="pct"/>
            <w:vAlign w:val="center"/>
          </w:tcPr>
          <w:p w:rsidR="00C8239C" w:rsidRDefault="00C8239C" w:rsidP="00C8239C">
            <w:pPr>
              <w:pStyle w:val="Legenda"/>
              <w:jc w:val="both"/>
              <w:rPr>
                <w:rFonts w:cs="Arial"/>
                <w:color w:val="000000" w:themeColor="text1"/>
                <w:sz w:val="22"/>
                <w:szCs w:val="22"/>
              </w:rPr>
            </w:pPr>
            <w:r w:rsidRPr="00C8239C">
              <w:rPr>
                <w:rFonts w:cs="Arial"/>
                <w:color w:val="000000" w:themeColor="text1"/>
                <w:sz w:val="22"/>
                <w:szCs w:val="22"/>
              </w:rPr>
              <w:t xml:space="preserve">A contratação de bens e serviços fornecidos </w:t>
            </w:r>
            <w:proofErr w:type="gramStart"/>
            <w:r w:rsidRPr="00C8239C">
              <w:rPr>
                <w:rFonts w:cs="Arial"/>
                <w:color w:val="000000" w:themeColor="text1"/>
                <w:sz w:val="22"/>
                <w:szCs w:val="22"/>
              </w:rPr>
              <w:t>por Afiliadas</w:t>
            </w:r>
            <w:proofErr w:type="gramEnd"/>
            <w:r w:rsidRPr="00C8239C">
              <w:rPr>
                <w:rFonts w:cs="Arial"/>
                <w:color w:val="000000" w:themeColor="text1"/>
                <w:sz w:val="22"/>
                <w:szCs w:val="22"/>
              </w:rPr>
              <w:t xml:space="preserve"> está igualmente sujeita às especificações desta Cláusula Vigésima, exceto nos casos de serviços que, de acordo com as Melhores Práticas da Indústria do Petróleo, sejam habitualmente realizados por Afiliadas.</w:t>
            </w:r>
          </w:p>
        </w:tc>
        <w:tc>
          <w:tcPr>
            <w:tcW w:w="1945" w:type="pct"/>
            <w:vAlign w:val="center"/>
          </w:tcPr>
          <w:p w:rsidR="00C8239C" w:rsidRPr="00C8239C" w:rsidRDefault="00C8239C" w:rsidP="00C8239C">
            <w:pPr>
              <w:pStyle w:val="Legenda"/>
              <w:jc w:val="both"/>
              <w:rPr>
                <w:rFonts w:cs="Arial"/>
                <w:color w:val="000000"/>
                <w:sz w:val="22"/>
                <w:szCs w:val="22"/>
                <w:lang w:eastAsia="en-US"/>
              </w:rPr>
            </w:pPr>
            <w:r w:rsidRPr="00C8239C">
              <w:rPr>
                <w:rFonts w:cs="Arial"/>
                <w:color w:val="000000"/>
                <w:sz w:val="22"/>
                <w:szCs w:val="22"/>
                <w:lang w:eastAsia="en-US"/>
              </w:rPr>
              <w:t xml:space="preserve">Os direitos conferidos pela Cláusula se tornam inócuos com </w:t>
            </w:r>
            <w:r>
              <w:rPr>
                <w:rFonts w:cs="Arial"/>
                <w:color w:val="000000"/>
                <w:sz w:val="22"/>
                <w:szCs w:val="22"/>
                <w:lang w:eastAsia="en-US"/>
              </w:rPr>
              <w:t>o texto proposto</w:t>
            </w:r>
            <w:r w:rsidRPr="00C8239C">
              <w:rPr>
                <w:rFonts w:cs="Arial"/>
                <w:color w:val="000000"/>
                <w:sz w:val="22"/>
                <w:szCs w:val="22"/>
                <w:lang w:eastAsia="en-US"/>
              </w:rPr>
              <w:t xml:space="preserve"> pela ANP.</w:t>
            </w:r>
          </w:p>
        </w:tc>
      </w:tr>
      <w:tr w:rsidR="00C8239C" w:rsidRPr="00697392" w:rsidTr="00C8239C">
        <w:trPr>
          <w:trHeight w:val="2268"/>
        </w:trPr>
        <w:tc>
          <w:tcPr>
            <w:tcW w:w="551" w:type="pct"/>
            <w:vAlign w:val="center"/>
          </w:tcPr>
          <w:p w:rsidR="00C8239C" w:rsidRDefault="00C8239C" w:rsidP="00C8239C">
            <w:pPr>
              <w:pStyle w:val="Legenda"/>
              <w:jc w:val="center"/>
              <w:rPr>
                <w:rFonts w:cs="Arial"/>
                <w:color w:val="000000" w:themeColor="text1"/>
                <w:sz w:val="22"/>
                <w:szCs w:val="22"/>
              </w:rPr>
            </w:pPr>
            <w:r>
              <w:rPr>
                <w:rFonts w:cs="Arial"/>
                <w:color w:val="000000" w:themeColor="text1"/>
                <w:sz w:val="22"/>
                <w:szCs w:val="22"/>
              </w:rPr>
              <w:lastRenderedPageBreak/>
              <w:t>Minuta do Contrato de Concessão</w:t>
            </w:r>
          </w:p>
        </w:tc>
        <w:tc>
          <w:tcPr>
            <w:tcW w:w="616" w:type="pct"/>
            <w:vAlign w:val="center"/>
          </w:tcPr>
          <w:p w:rsidR="00C8239C" w:rsidRDefault="00C8239C" w:rsidP="00C8239C">
            <w:pPr>
              <w:pStyle w:val="Legenda"/>
              <w:jc w:val="center"/>
              <w:rPr>
                <w:rFonts w:cs="Arial"/>
                <w:color w:val="000000" w:themeColor="text1"/>
                <w:sz w:val="22"/>
                <w:szCs w:val="22"/>
              </w:rPr>
            </w:pPr>
            <w:r>
              <w:rPr>
                <w:rFonts w:cs="Arial"/>
                <w:color w:val="000000" w:themeColor="text1"/>
                <w:sz w:val="22"/>
                <w:szCs w:val="22"/>
              </w:rPr>
              <w:t>Alteração</w:t>
            </w:r>
          </w:p>
        </w:tc>
        <w:tc>
          <w:tcPr>
            <w:tcW w:w="363" w:type="pct"/>
            <w:vAlign w:val="center"/>
          </w:tcPr>
          <w:p w:rsidR="00C8239C" w:rsidRDefault="00EC4DE3" w:rsidP="00C8239C">
            <w:pPr>
              <w:pStyle w:val="Legenda"/>
              <w:jc w:val="center"/>
              <w:rPr>
                <w:rFonts w:cs="Arial"/>
                <w:color w:val="000000" w:themeColor="text1"/>
                <w:sz w:val="22"/>
                <w:szCs w:val="22"/>
              </w:rPr>
            </w:pPr>
            <w:r>
              <w:rPr>
                <w:rFonts w:cs="Arial"/>
                <w:color w:val="000000" w:themeColor="text1"/>
                <w:sz w:val="22"/>
                <w:szCs w:val="22"/>
              </w:rPr>
              <w:t>20.6</w:t>
            </w:r>
          </w:p>
        </w:tc>
        <w:tc>
          <w:tcPr>
            <w:tcW w:w="1525" w:type="pct"/>
            <w:vAlign w:val="center"/>
          </w:tcPr>
          <w:p w:rsidR="00C8239C" w:rsidRDefault="00EC4DE3" w:rsidP="00C8239C">
            <w:pPr>
              <w:pStyle w:val="Legenda"/>
              <w:jc w:val="both"/>
              <w:rPr>
                <w:rFonts w:cs="Arial"/>
                <w:color w:val="000000" w:themeColor="text1"/>
                <w:sz w:val="22"/>
                <w:szCs w:val="22"/>
              </w:rPr>
            </w:pPr>
            <w:r w:rsidRPr="00EC4DE3">
              <w:rPr>
                <w:rFonts w:cs="Arial"/>
                <w:color w:val="000000" w:themeColor="text1"/>
                <w:sz w:val="22"/>
                <w:szCs w:val="22"/>
              </w:rPr>
              <w:t>Para a determinação do Conteúdo Local, os valores monetários correspondentes às contratações de bens e serviços serão os valores nominais dos Relatórios de Conteúdo Local ou documentos comprobatórios</w:t>
            </w:r>
            <w:r>
              <w:rPr>
                <w:rFonts w:cs="Arial"/>
                <w:color w:val="000000" w:themeColor="text1"/>
                <w:sz w:val="22"/>
                <w:szCs w:val="22"/>
              </w:rPr>
              <w:t>.</w:t>
            </w:r>
          </w:p>
        </w:tc>
        <w:tc>
          <w:tcPr>
            <w:tcW w:w="1945" w:type="pct"/>
            <w:vAlign w:val="center"/>
          </w:tcPr>
          <w:p w:rsidR="00C8239C" w:rsidRDefault="00EC4DE3" w:rsidP="00C8239C">
            <w:pPr>
              <w:pStyle w:val="Legenda"/>
              <w:jc w:val="both"/>
              <w:rPr>
                <w:rFonts w:cs="Arial"/>
                <w:color w:val="000000"/>
                <w:sz w:val="22"/>
                <w:szCs w:val="22"/>
                <w:lang w:eastAsia="en-US"/>
              </w:rPr>
            </w:pPr>
            <w:r w:rsidRPr="00EC4DE3">
              <w:rPr>
                <w:rFonts w:cs="Arial"/>
                <w:color w:val="000000"/>
                <w:sz w:val="22"/>
                <w:szCs w:val="22"/>
                <w:lang w:eastAsia="en-US"/>
              </w:rPr>
              <w:t>Manter a coerência com as previsões relativas ao abatimento da Participação Especial, onde o custo exploratório do Concessionário não é atualizado monetariamente.</w:t>
            </w:r>
          </w:p>
        </w:tc>
      </w:tr>
      <w:tr w:rsidR="00C8239C" w:rsidRPr="00697392" w:rsidTr="00C8239C">
        <w:trPr>
          <w:trHeight w:val="2268"/>
        </w:trPr>
        <w:tc>
          <w:tcPr>
            <w:tcW w:w="551" w:type="pct"/>
            <w:vAlign w:val="center"/>
          </w:tcPr>
          <w:p w:rsidR="00C8239C" w:rsidRDefault="00C8239C" w:rsidP="00C8239C">
            <w:pPr>
              <w:pStyle w:val="Legenda"/>
              <w:jc w:val="center"/>
              <w:rPr>
                <w:rFonts w:cs="Arial"/>
                <w:color w:val="000000" w:themeColor="text1"/>
                <w:sz w:val="22"/>
                <w:szCs w:val="22"/>
              </w:rPr>
            </w:pPr>
            <w:r>
              <w:rPr>
                <w:rFonts w:cs="Arial"/>
                <w:color w:val="000000" w:themeColor="text1"/>
                <w:sz w:val="22"/>
                <w:szCs w:val="22"/>
              </w:rPr>
              <w:t>Minuta do Contrato de Concessão</w:t>
            </w:r>
          </w:p>
        </w:tc>
        <w:tc>
          <w:tcPr>
            <w:tcW w:w="616" w:type="pct"/>
            <w:vAlign w:val="center"/>
          </w:tcPr>
          <w:p w:rsidR="00C8239C" w:rsidRDefault="00C8239C" w:rsidP="00C8239C">
            <w:pPr>
              <w:pStyle w:val="Legenda"/>
              <w:jc w:val="center"/>
              <w:rPr>
                <w:rFonts w:cs="Arial"/>
                <w:color w:val="000000" w:themeColor="text1"/>
                <w:sz w:val="22"/>
                <w:szCs w:val="22"/>
              </w:rPr>
            </w:pPr>
            <w:r>
              <w:rPr>
                <w:rFonts w:cs="Arial"/>
                <w:color w:val="000000" w:themeColor="text1"/>
                <w:sz w:val="22"/>
                <w:szCs w:val="22"/>
              </w:rPr>
              <w:t>Alteração</w:t>
            </w:r>
          </w:p>
        </w:tc>
        <w:tc>
          <w:tcPr>
            <w:tcW w:w="363" w:type="pct"/>
            <w:vAlign w:val="center"/>
          </w:tcPr>
          <w:p w:rsidR="00C8239C" w:rsidRDefault="00887FE1" w:rsidP="00C8239C">
            <w:pPr>
              <w:pStyle w:val="Legenda"/>
              <w:jc w:val="center"/>
              <w:rPr>
                <w:rFonts w:cs="Arial"/>
                <w:color w:val="000000" w:themeColor="text1"/>
                <w:sz w:val="22"/>
                <w:szCs w:val="22"/>
              </w:rPr>
            </w:pPr>
            <w:proofErr w:type="gramStart"/>
            <w:r>
              <w:rPr>
                <w:rFonts w:cs="Arial"/>
                <w:color w:val="000000" w:themeColor="text1"/>
                <w:sz w:val="22"/>
                <w:szCs w:val="22"/>
              </w:rPr>
              <w:t>20.8 alínea</w:t>
            </w:r>
            <w:proofErr w:type="gramEnd"/>
            <w:r>
              <w:rPr>
                <w:rFonts w:cs="Arial"/>
                <w:color w:val="000000" w:themeColor="text1"/>
                <w:sz w:val="22"/>
                <w:szCs w:val="22"/>
              </w:rPr>
              <w:t xml:space="preserve"> a</w:t>
            </w:r>
          </w:p>
        </w:tc>
        <w:tc>
          <w:tcPr>
            <w:tcW w:w="1525" w:type="pct"/>
            <w:vAlign w:val="center"/>
          </w:tcPr>
          <w:p w:rsidR="00C8239C" w:rsidRDefault="00887FE1" w:rsidP="00887FE1">
            <w:pPr>
              <w:pStyle w:val="Legenda"/>
              <w:jc w:val="both"/>
              <w:rPr>
                <w:rFonts w:cs="Arial"/>
                <w:color w:val="000000" w:themeColor="text1"/>
                <w:sz w:val="22"/>
                <w:szCs w:val="22"/>
              </w:rPr>
            </w:pPr>
            <w:r w:rsidRPr="00887FE1">
              <w:rPr>
                <w:rFonts w:cs="Arial"/>
                <w:color w:val="000000" w:themeColor="text1"/>
                <w:sz w:val="22"/>
                <w:szCs w:val="22"/>
              </w:rPr>
              <w:t>a)</w:t>
            </w:r>
            <w:r>
              <w:rPr>
                <w:rFonts w:cs="Arial"/>
                <w:color w:val="000000" w:themeColor="text1"/>
                <w:sz w:val="22"/>
                <w:szCs w:val="22"/>
              </w:rPr>
              <w:t xml:space="preserve"> </w:t>
            </w:r>
            <w:r w:rsidRPr="00887FE1">
              <w:rPr>
                <w:rFonts w:cs="Arial"/>
                <w:color w:val="000000" w:themeColor="text1"/>
                <w:sz w:val="22"/>
                <w:szCs w:val="22"/>
              </w:rPr>
              <w:t>o decurso de</w:t>
            </w:r>
            <w:r>
              <w:rPr>
                <w:rFonts w:cs="Arial"/>
                <w:color w:val="000000" w:themeColor="text1"/>
                <w:sz w:val="22"/>
                <w:szCs w:val="22"/>
              </w:rPr>
              <w:t xml:space="preserve"> 5 (cinco) anos após a Extração do Primeiro Óleo;</w:t>
            </w:r>
          </w:p>
        </w:tc>
        <w:tc>
          <w:tcPr>
            <w:tcW w:w="1945" w:type="pct"/>
            <w:vAlign w:val="center"/>
          </w:tcPr>
          <w:p w:rsidR="00C8239C" w:rsidRDefault="00887FE1" w:rsidP="00C8239C">
            <w:pPr>
              <w:pStyle w:val="Legenda"/>
              <w:jc w:val="both"/>
              <w:rPr>
                <w:rFonts w:cs="Arial"/>
                <w:color w:val="000000"/>
                <w:sz w:val="22"/>
                <w:szCs w:val="22"/>
                <w:lang w:eastAsia="en-US"/>
              </w:rPr>
            </w:pPr>
            <w:r>
              <w:rPr>
                <w:rFonts w:cs="Arial"/>
                <w:color w:val="000000"/>
                <w:sz w:val="22"/>
                <w:szCs w:val="22"/>
                <w:lang w:eastAsia="en-US"/>
              </w:rPr>
              <w:t>Adequação com demais prazos do Contrato. Esse prazo já foi adotado em outras rodadas pela ANP.</w:t>
            </w:r>
          </w:p>
        </w:tc>
      </w:tr>
      <w:tr w:rsidR="00C8239C" w:rsidRPr="00697392" w:rsidTr="00C8239C">
        <w:trPr>
          <w:trHeight w:val="2268"/>
        </w:trPr>
        <w:tc>
          <w:tcPr>
            <w:tcW w:w="551" w:type="pct"/>
            <w:vAlign w:val="center"/>
          </w:tcPr>
          <w:p w:rsidR="00C8239C" w:rsidRDefault="00C8239C" w:rsidP="00C8239C">
            <w:pPr>
              <w:pStyle w:val="Legenda"/>
              <w:jc w:val="center"/>
              <w:rPr>
                <w:rFonts w:cs="Arial"/>
                <w:color w:val="000000" w:themeColor="text1"/>
                <w:sz w:val="22"/>
                <w:szCs w:val="22"/>
              </w:rPr>
            </w:pPr>
            <w:r>
              <w:rPr>
                <w:rFonts w:cs="Arial"/>
                <w:color w:val="000000" w:themeColor="text1"/>
                <w:sz w:val="22"/>
                <w:szCs w:val="22"/>
              </w:rPr>
              <w:t>Minuta do Contrato de Concessão</w:t>
            </w:r>
          </w:p>
        </w:tc>
        <w:tc>
          <w:tcPr>
            <w:tcW w:w="616" w:type="pct"/>
            <w:vAlign w:val="center"/>
          </w:tcPr>
          <w:p w:rsidR="00C8239C" w:rsidRDefault="00887FE1" w:rsidP="00C8239C">
            <w:pPr>
              <w:pStyle w:val="Legenda"/>
              <w:jc w:val="center"/>
              <w:rPr>
                <w:rFonts w:cs="Arial"/>
                <w:color w:val="000000" w:themeColor="text1"/>
                <w:sz w:val="22"/>
                <w:szCs w:val="22"/>
              </w:rPr>
            </w:pPr>
            <w:r>
              <w:rPr>
                <w:rFonts w:cs="Arial"/>
                <w:color w:val="000000" w:themeColor="text1"/>
                <w:sz w:val="22"/>
                <w:szCs w:val="22"/>
              </w:rPr>
              <w:t>Exclusão</w:t>
            </w:r>
          </w:p>
        </w:tc>
        <w:tc>
          <w:tcPr>
            <w:tcW w:w="363" w:type="pct"/>
            <w:vAlign w:val="center"/>
          </w:tcPr>
          <w:p w:rsidR="00C8239C" w:rsidRDefault="00887FE1" w:rsidP="00C8239C">
            <w:pPr>
              <w:pStyle w:val="Legenda"/>
              <w:jc w:val="center"/>
              <w:rPr>
                <w:rFonts w:cs="Arial"/>
                <w:color w:val="000000" w:themeColor="text1"/>
                <w:sz w:val="22"/>
                <w:szCs w:val="22"/>
              </w:rPr>
            </w:pPr>
            <w:r>
              <w:rPr>
                <w:rFonts w:cs="Arial"/>
                <w:color w:val="000000" w:themeColor="text1"/>
                <w:sz w:val="22"/>
                <w:szCs w:val="22"/>
              </w:rPr>
              <w:t>20.9</w:t>
            </w:r>
          </w:p>
        </w:tc>
        <w:tc>
          <w:tcPr>
            <w:tcW w:w="1525" w:type="pct"/>
            <w:vAlign w:val="center"/>
          </w:tcPr>
          <w:p w:rsidR="00C8239C" w:rsidRDefault="00C8239C" w:rsidP="00C8239C">
            <w:pPr>
              <w:pStyle w:val="Legenda"/>
              <w:jc w:val="both"/>
              <w:rPr>
                <w:rFonts w:cs="Arial"/>
                <w:color w:val="000000" w:themeColor="text1"/>
                <w:sz w:val="22"/>
                <w:szCs w:val="22"/>
              </w:rPr>
            </w:pPr>
          </w:p>
        </w:tc>
        <w:tc>
          <w:tcPr>
            <w:tcW w:w="1945" w:type="pct"/>
            <w:vAlign w:val="center"/>
          </w:tcPr>
          <w:p w:rsidR="00C8239C" w:rsidRDefault="00887FE1" w:rsidP="00C8239C">
            <w:pPr>
              <w:pStyle w:val="Legenda"/>
              <w:jc w:val="both"/>
              <w:rPr>
                <w:rFonts w:cs="Arial"/>
                <w:color w:val="000000"/>
                <w:sz w:val="22"/>
                <w:szCs w:val="22"/>
                <w:lang w:eastAsia="en-US"/>
              </w:rPr>
            </w:pPr>
            <w:r w:rsidRPr="00887FE1">
              <w:rPr>
                <w:rFonts w:cs="Arial"/>
                <w:color w:val="000000"/>
                <w:sz w:val="22"/>
                <w:szCs w:val="22"/>
                <w:lang w:eastAsia="en-US"/>
              </w:rPr>
              <w:t>A Cláusula é inócua, uma vez que a base de apuração da execução dos compromissos de Conteúdo Local são os investimentos.</w:t>
            </w:r>
          </w:p>
        </w:tc>
      </w:tr>
      <w:tr w:rsidR="00EC4DE3" w:rsidRPr="00697392" w:rsidTr="00C8239C">
        <w:trPr>
          <w:trHeight w:val="2268"/>
        </w:trPr>
        <w:tc>
          <w:tcPr>
            <w:tcW w:w="551" w:type="pct"/>
            <w:vAlign w:val="center"/>
          </w:tcPr>
          <w:p w:rsidR="00EC4DE3" w:rsidRDefault="00EC4DE3" w:rsidP="00C8239C">
            <w:pPr>
              <w:pStyle w:val="Legenda"/>
              <w:jc w:val="center"/>
              <w:rPr>
                <w:rFonts w:cs="Arial"/>
                <w:color w:val="000000" w:themeColor="text1"/>
                <w:sz w:val="22"/>
                <w:szCs w:val="22"/>
              </w:rPr>
            </w:pPr>
            <w:r>
              <w:rPr>
                <w:rFonts w:cs="Arial"/>
                <w:color w:val="000000" w:themeColor="text1"/>
                <w:sz w:val="22"/>
                <w:szCs w:val="22"/>
              </w:rPr>
              <w:lastRenderedPageBreak/>
              <w:t>Minuta do Contrato de Concessão</w:t>
            </w:r>
          </w:p>
        </w:tc>
        <w:tc>
          <w:tcPr>
            <w:tcW w:w="616" w:type="pct"/>
            <w:vAlign w:val="center"/>
          </w:tcPr>
          <w:p w:rsidR="00EC4DE3" w:rsidRDefault="00EC4DE3" w:rsidP="00C8239C">
            <w:pPr>
              <w:pStyle w:val="Legenda"/>
              <w:jc w:val="center"/>
              <w:rPr>
                <w:rFonts w:cs="Arial"/>
                <w:color w:val="000000" w:themeColor="text1"/>
                <w:sz w:val="22"/>
                <w:szCs w:val="22"/>
              </w:rPr>
            </w:pPr>
            <w:r>
              <w:rPr>
                <w:rFonts w:cs="Arial"/>
                <w:color w:val="000000" w:themeColor="text1"/>
                <w:sz w:val="22"/>
                <w:szCs w:val="22"/>
              </w:rPr>
              <w:t>Exclusão</w:t>
            </w:r>
          </w:p>
        </w:tc>
        <w:tc>
          <w:tcPr>
            <w:tcW w:w="363" w:type="pct"/>
            <w:vAlign w:val="center"/>
          </w:tcPr>
          <w:p w:rsidR="00EC4DE3" w:rsidRDefault="00EC4DE3" w:rsidP="00C8239C">
            <w:pPr>
              <w:pStyle w:val="Legenda"/>
              <w:jc w:val="center"/>
              <w:rPr>
                <w:rFonts w:cs="Arial"/>
                <w:color w:val="000000" w:themeColor="text1"/>
                <w:sz w:val="22"/>
                <w:szCs w:val="22"/>
              </w:rPr>
            </w:pPr>
            <w:r>
              <w:rPr>
                <w:rFonts w:cs="Arial"/>
                <w:color w:val="000000" w:themeColor="text1"/>
                <w:sz w:val="22"/>
                <w:szCs w:val="22"/>
              </w:rPr>
              <w:t>20.11.1</w:t>
            </w:r>
          </w:p>
        </w:tc>
        <w:tc>
          <w:tcPr>
            <w:tcW w:w="1525" w:type="pct"/>
            <w:vAlign w:val="center"/>
          </w:tcPr>
          <w:p w:rsidR="00EC4DE3" w:rsidRDefault="00EC4DE3" w:rsidP="00C8239C">
            <w:pPr>
              <w:pStyle w:val="Legenda"/>
              <w:jc w:val="both"/>
              <w:rPr>
                <w:rFonts w:cs="Arial"/>
                <w:color w:val="000000" w:themeColor="text1"/>
                <w:sz w:val="22"/>
                <w:szCs w:val="22"/>
              </w:rPr>
            </w:pPr>
          </w:p>
        </w:tc>
        <w:tc>
          <w:tcPr>
            <w:tcW w:w="1945" w:type="pct"/>
            <w:vAlign w:val="center"/>
          </w:tcPr>
          <w:p w:rsidR="00EC4DE3" w:rsidRDefault="00EC4DE3" w:rsidP="00C8239C">
            <w:pPr>
              <w:pStyle w:val="Legenda"/>
              <w:jc w:val="both"/>
              <w:rPr>
                <w:rFonts w:cs="Arial"/>
                <w:color w:val="000000"/>
                <w:sz w:val="22"/>
                <w:szCs w:val="22"/>
                <w:lang w:eastAsia="en-US"/>
              </w:rPr>
            </w:pPr>
            <w:r w:rsidRPr="00EC4DE3">
              <w:rPr>
                <w:rFonts w:cs="Arial"/>
                <w:color w:val="000000"/>
                <w:sz w:val="22"/>
                <w:szCs w:val="22"/>
                <w:lang w:eastAsia="en-US"/>
              </w:rPr>
              <w:t>Manter a coerência com as previsões relativas ao abatimento da Participação Especial, onde o custo exploratório do Concessionário não é atualizado monetariamente.</w:t>
            </w:r>
          </w:p>
        </w:tc>
      </w:tr>
      <w:tr w:rsidR="00A42CCE" w:rsidRPr="00697392" w:rsidTr="00C8239C">
        <w:trPr>
          <w:trHeight w:val="2268"/>
        </w:trPr>
        <w:tc>
          <w:tcPr>
            <w:tcW w:w="551" w:type="pct"/>
            <w:vAlign w:val="center"/>
          </w:tcPr>
          <w:p w:rsidR="00A42CCE" w:rsidRDefault="00A42CCE" w:rsidP="00C8239C">
            <w:pPr>
              <w:pStyle w:val="Legenda"/>
              <w:jc w:val="center"/>
              <w:rPr>
                <w:rFonts w:cs="Arial"/>
                <w:color w:val="000000" w:themeColor="text1"/>
                <w:sz w:val="22"/>
                <w:szCs w:val="22"/>
              </w:rPr>
            </w:pPr>
            <w:r>
              <w:rPr>
                <w:rFonts w:cs="Arial"/>
                <w:color w:val="000000" w:themeColor="text1"/>
                <w:sz w:val="22"/>
                <w:szCs w:val="22"/>
              </w:rPr>
              <w:t>Minuta do Contrato de Concessão</w:t>
            </w:r>
          </w:p>
        </w:tc>
        <w:tc>
          <w:tcPr>
            <w:tcW w:w="616" w:type="pct"/>
            <w:vAlign w:val="center"/>
          </w:tcPr>
          <w:p w:rsidR="00A42CCE" w:rsidRDefault="00A42CCE" w:rsidP="00A42CCE">
            <w:pPr>
              <w:pStyle w:val="Legenda"/>
              <w:jc w:val="center"/>
              <w:rPr>
                <w:rFonts w:cs="Arial"/>
                <w:color w:val="000000" w:themeColor="text1"/>
                <w:sz w:val="22"/>
                <w:szCs w:val="22"/>
              </w:rPr>
            </w:pPr>
            <w:r>
              <w:rPr>
                <w:rFonts w:cs="Arial"/>
                <w:color w:val="000000" w:themeColor="text1"/>
                <w:sz w:val="22"/>
                <w:szCs w:val="22"/>
              </w:rPr>
              <w:t>Alteração</w:t>
            </w:r>
          </w:p>
        </w:tc>
        <w:tc>
          <w:tcPr>
            <w:tcW w:w="363" w:type="pct"/>
            <w:vAlign w:val="center"/>
          </w:tcPr>
          <w:p w:rsidR="00A42CCE" w:rsidRDefault="00A42CCE" w:rsidP="00C8239C">
            <w:pPr>
              <w:pStyle w:val="Legenda"/>
              <w:jc w:val="center"/>
              <w:rPr>
                <w:rFonts w:cs="Arial"/>
                <w:color w:val="000000" w:themeColor="text1"/>
                <w:sz w:val="22"/>
                <w:szCs w:val="22"/>
              </w:rPr>
            </w:pPr>
            <w:r>
              <w:rPr>
                <w:rFonts w:cs="Arial"/>
                <w:color w:val="000000" w:themeColor="text1"/>
                <w:sz w:val="22"/>
                <w:szCs w:val="22"/>
              </w:rPr>
              <w:t>20.14</w:t>
            </w:r>
          </w:p>
        </w:tc>
        <w:tc>
          <w:tcPr>
            <w:tcW w:w="1525" w:type="pct"/>
            <w:vAlign w:val="center"/>
          </w:tcPr>
          <w:p w:rsidR="00A42CCE" w:rsidRDefault="00A42CCE" w:rsidP="00A42CCE">
            <w:pPr>
              <w:pStyle w:val="Legenda"/>
              <w:jc w:val="both"/>
              <w:rPr>
                <w:rFonts w:cs="Arial"/>
                <w:color w:val="000000" w:themeColor="text1"/>
                <w:sz w:val="22"/>
                <w:szCs w:val="22"/>
              </w:rPr>
            </w:pPr>
            <w:r w:rsidRPr="00A42CCE">
              <w:rPr>
                <w:rFonts w:cs="Arial"/>
                <w:color w:val="000000" w:themeColor="text1"/>
                <w:sz w:val="22"/>
                <w:szCs w:val="22"/>
              </w:rPr>
              <w:t>O valor da multa será atualizado</w:t>
            </w:r>
            <w:r>
              <w:rPr>
                <w:rFonts w:cs="Arial"/>
                <w:color w:val="000000" w:themeColor="text1"/>
                <w:sz w:val="22"/>
                <w:szCs w:val="22"/>
              </w:rPr>
              <w:t xml:space="preserve"> anualmente</w:t>
            </w:r>
            <w:r w:rsidRPr="00A42CCE">
              <w:rPr>
                <w:rFonts w:cs="Arial"/>
                <w:color w:val="000000" w:themeColor="text1"/>
                <w:sz w:val="22"/>
                <w:szCs w:val="22"/>
              </w:rPr>
              <w:t xml:space="preserve"> pelo Índice Geral de Preços de Mercado (IGP-M).</w:t>
            </w:r>
          </w:p>
        </w:tc>
        <w:tc>
          <w:tcPr>
            <w:tcW w:w="1945" w:type="pct"/>
            <w:vAlign w:val="center"/>
          </w:tcPr>
          <w:p w:rsidR="00A42CCE" w:rsidRDefault="00A42CCE" w:rsidP="00C8239C">
            <w:pPr>
              <w:pStyle w:val="Legenda"/>
              <w:jc w:val="both"/>
              <w:rPr>
                <w:rFonts w:cs="Arial"/>
                <w:color w:val="000000"/>
                <w:sz w:val="22"/>
                <w:szCs w:val="22"/>
                <w:lang w:eastAsia="en-US"/>
              </w:rPr>
            </w:pPr>
            <w:r>
              <w:rPr>
                <w:rFonts w:cs="Arial"/>
                <w:color w:val="000000" w:themeColor="text1"/>
                <w:sz w:val="22"/>
                <w:szCs w:val="22"/>
              </w:rPr>
              <w:t>A Lei do Plano Real (9.069/94) não permite reajuste com período menor do que um ano.</w:t>
            </w:r>
            <w:bookmarkStart w:id="0" w:name="_GoBack"/>
            <w:bookmarkEnd w:id="0"/>
          </w:p>
        </w:tc>
      </w:tr>
      <w:tr w:rsidR="00C8239C" w:rsidRPr="00697392" w:rsidTr="00C8239C">
        <w:trPr>
          <w:trHeight w:val="2268"/>
        </w:trPr>
        <w:tc>
          <w:tcPr>
            <w:tcW w:w="551" w:type="pct"/>
            <w:vAlign w:val="center"/>
          </w:tcPr>
          <w:p w:rsidR="00C8239C" w:rsidRDefault="00C8239C" w:rsidP="00C8239C">
            <w:pPr>
              <w:pStyle w:val="Legenda"/>
              <w:jc w:val="center"/>
              <w:rPr>
                <w:rFonts w:cs="Arial"/>
                <w:color w:val="000000" w:themeColor="text1"/>
                <w:sz w:val="22"/>
                <w:szCs w:val="22"/>
              </w:rPr>
            </w:pPr>
            <w:r>
              <w:rPr>
                <w:rFonts w:cs="Arial"/>
                <w:color w:val="000000" w:themeColor="text1"/>
                <w:sz w:val="22"/>
                <w:szCs w:val="22"/>
              </w:rPr>
              <w:t>Minuta do Contrato de Concessão</w:t>
            </w:r>
          </w:p>
        </w:tc>
        <w:tc>
          <w:tcPr>
            <w:tcW w:w="616" w:type="pct"/>
            <w:vAlign w:val="center"/>
          </w:tcPr>
          <w:p w:rsidR="00C8239C" w:rsidRDefault="00C8239C" w:rsidP="00C8239C">
            <w:pPr>
              <w:pStyle w:val="Legenda"/>
              <w:jc w:val="center"/>
              <w:rPr>
                <w:rFonts w:cs="Arial"/>
                <w:color w:val="000000" w:themeColor="text1"/>
                <w:sz w:val="22"/>
                <w:szCs w:val="22"/>
              </w:rPr>
            </w:pPr>
            <w:r>
              <w:rPr>
                <w:rFonts w:cs="Arial"/>
                <w:color w:val="000000" w:themeColor="text1"/>
                <w:sz w:val="22"/>
                <w:szCs w:val="22"/>
              </w:rPr>
              <w:t>Alteração</w:t>
            </w:r>
          </w:p>
        </w:tc>
        <w:tc>
          <w:tcPr>
            <w:tcW w:w="363" w:type="pct"/>
            <w:vAlign w:val="center"/>
          </w:tcPr>
          <w:p w:rsidR="00C8239C" w:rsidRDefault="00C8239C" w:rsidP="00C8239C">
            <w:pPr>
              <w:pStyle w:val="Legenda"/>
              <w:jc w:val="center"/>
              <w:rPr>
                <w:rFonts w:cs="Arial"/>
                <w:color w:val="000000" w:themeColor="text1"/>
                <w:sz w:val="22"/>
                <w:szCs w:val="22"/>
              </w:rPr>
            </w:pPr>
            <w:r>
              <w:rPr>
                <w:rFonts w:cs="Arial"/>
                <w:color w:val="000000" w:themeColor="text1"/>
                <w:sz w:val="22"/>
                <w:szCs w:val="22"/>
              </w:rPr>
              <w:t>22.1.1</w:t>
            </w:r>
            <w:r>
              <w:rPr>
                <w:rFonts w:cs="Arial"/>
                <w:color w:val="000000" w:themeColor="text1"/>
                <w:sz w:val="22"/>
                <w:szCs w:val="22"/>
              </w:rPr>
              <w:br/>
              <w:t>alínea f</w:t>
            </w:r>
          </w:p>
        </w:tc>
        <w:tc>
          <w:tcPr>
            <w:tcW w:w="1525" w:type="pct"/>
            <w:vAlign w:val="center"/>
          </w:tcPr>
          <w:p w:rsidR="00C8239C" w:rsidRPr="00F378A2" w:rsidRDefault="00C8239C" w:rsidP="00C8239C">
            <w:pPr>
              <w:pStyle w:val="Legenda"/>
              <w:jc w:val="both"/>
              <w:rPr>
                <w:rFonts w:cs="Arial"/>
                <w:color w:val="000000" w:themeColor="text1"/>
                <w:sz w:val="22"/>
                <w:szCs w:val="22"/>
              </w:rPr>
            </w:pPr>
            <w:r>
              <w:rPr>
                <w:rFonts w:cs="Arial"/>
                <w:color w:val="000000" w:themeColor="text1"/>
                <w:sz w:val="22"/>
                <w:szCs w:val="22"/>
              </w:rPr>
              <w:t>f) responsabilidade civil para danos ambientais.</w:t>
            </w:r>
          </w:p>
        </w:tc>
        <w:tc>
          <w:tcPr>
            <w:tcW w:w="1945" w:type="pct"/>
            <w:vAlign w:val="center"/>
          </w:tcPr>
          <w:p w:rsidR="00C8239C" w:rsidRDefault="00C8239C" w:rsidP="00C8239C">
            <w:pPr>
              <w:pStyle w:val="Legenda"/>
              <w:jc w:val="both"/>
              <w:rPr>
                <w:rFonts w:cs="Arial"/>
                <w:color w:val="000000"/>
                <w:sz w:val="22"/>
                <w:szCs w:val="22"/>
                <w:lang w:eastAsia="en-US"/>
              </w:rPr>
            </w:pPr>
            <w:r>
              <w:rPr>
                <w:rFonts w:cs="Arial"/>
                <w:color w:val="000000"/>
                <w:sz w:val="22"/>
                <w:szCs w:val="22"/>
                <w:lang w:eastAsia="en-US"/>
              </w:rPr>
              <w:t>A contratação de um seguro que tenha abrangência para cobrir quaisquer danos ao patrimônio da União é inviável.</w:t>
            </w:r>
          </w:p>
        </w:tc>
      </w:tr>
      <w:tr w:rsidR="00C8239C" w:rsidRPr="00697392" w:rsidTr="00C8239C">
        <w:trPr>
          <w:trHeight w:val="2268"/>
        </w:trPr>
        <w:tc>
          <w:tcPr>
            <w:tcW w:w="551" w:type="pct"/>
            <w:vAlign w:val="center"/>
          </w:tcPr>
          <w:p w:rsidR="00C8239C" w:rsidRDefault="00C8239C" w:rsidP="00C8239C">
            <w:pPr>
              <w:pStyle w:val="Legenda"/>
              <w:jc w:val="center"/>
              <w:rPr>
                <w:rFonts w:cs="Arial"/>
                <w:color w:val="000000" w:themeColor="text1"/>
                <w:sz w:val="22"/>
                <w:szCs w:val="22"/>
              </w:rPr>
            </w:pPr>
            <w:r>
              <w:rPr>
                <w:rFonts w:cs="Arial"/>
                <w:color w:val="000000" w:themeColor="text1"/>
                <w:sz w:val="22"/>
                <w:szCs w:val="22"/>
              </w:rPr>
              <w:lastRenderedPageBreak/>
              <w:t>Minuta do Contrato de Concessão</w:t>
            </w:r>
          </w:p>
        </w:tc>
        <w:tc>
          <w:tcPr>
            <w:tcW w:w="616" w:type="pct"/>
            <w:vAlign w:val="center"/>
          </w:tcPr>
          <w:p w:rsidR="00C8239C" w:rsidRDefault="00C8239C" w:rsidP="00C8239C">
            <w:pPr>
              <w:pStyle w:val="Legenda"/>
              <w:jc w:val="center"/>
              <w:rPr>
                <w:rFonts w:cs="Arial"/>
                <w:color w:val="000000" w:themeColor="text1"/>
                <w:sz w:val="22"/>
                <w:szCs w:val="22"/>
              </w:rPr>
            </w:pPr>
            <w:r>
              <w:rPr>
                <w:rFonts w:cs="Arial"/>
                <w:color w:val="000000" w:themeColor="text1"/>
                <w:sz w:val="22"/>
                <w:szCs w:val="22"/>
              </w:rPr>
              <w:t>Alteração</w:t>
            </w:r>
          </w:p>
        </w:tc>
        <w:tc>
          <w:tcPr>
            <w:tcW w:w="363" w:type="pct"/>
            <w:vAlign w:val="center"/>
          </w:tcPr>
          <w:p w:rsidR="00C8239C" w:rsidRDefault="00C8239C" w:rsidP="00C8239C">
            <w:pPr>
              <w:pStyle w:val="Legenda"/>
              <w:jc w:val="center"/>
              <w:rPr>
                <w:rFonts w:cs="Arial"/>
                <w:color w:val="000000" w:themeColor="text1"/>
                <w:sz w:val="22"/>
                <w:szCs w:val="22"/>
              </w:rPr>
            </w:pPr>
            <w:r>
              <w:rPr>
                <w:rFonts w:cs="Arial"/>
                <w:color w:val="000000" w:themeColor="text1"/>
                <w:sz w:val="22"/>
                <w:szCs w:val="22"/>
              </w:rPr>
              <w:t>23.2</w:t>
            </w:r>
          </w:p>
        </w:tc>
        <w:tc>
          <w:tcPr>
            <w:tcW w:w="1525" w:type="pct"/>
            <w:vAlign w:val="center"/>
          </w:tcPr>
          <w:p w:rsidR="00C8239C" w:rsidRPr="0026083C" w:rsidRDefault="00C8239C" w:rsidP="00C8239C">
            <w:pPr>
              <w:pStyle w:val="Legenda"/>
              <w:jc w:val="both"/>
              <w:rPr>
                <w:rFonts w:cs="Arial"/>
                <w:color w:val="000000" w:themeColor="text1"/>
                <w:sz w:val="22"/>
                <w:szCs w:val="22"/>
              </w:rPr>
            </w:pPr>
            <w:r w:rsidRPr="00F378A2">
              <w:rPr>
                <w:rFonts w:cs="Arial"/>
                <w:color w:val="000000" w:themeColor="text1"/>
                <w:sz w:val="22"/>
                <w:szCs w:val="22"/>
              </w:rPr>
              <w:t>Para os campos que vierem a pagar participação especial, independente dos valores indicados na Tabela</w:t>
            </w:r>
            <w:r>
              <w:rPr>
                <w:rFonts w:cs="Arial"/>
                <w:color w:val="000000" w:themeColor="text1"/>
                <w:sz w:val="22"/>
                <w:szCs w:val="22"/>
              </w:rPr>
              <w:t xml:space="preserve"> 3</w:t>
            </w:r>
            <w:r>
              <w:t xml:space="preserve"> </w:t>
            </w:r>
            <w:r w:rsidRPr="00F378A2">
              <w:rPr>
                <w:rFonts w:cs="Arial"/>
                <w:color w:val="000000" w:themeColor="text1"/>
                <w:sz w:val="22"/>
                <w:szCs w:val="22"/>
              </w:rPr>
              <w:t>do edital da Décima Quarta Rodada de Licitações e no Anexo V deste contrato, a alíquota de royalties será de 10% (dez por cento).</w:t>
            </w:r>
          </w:p>
        </w:tc>
        <w:tc>
          <w:tcPr>
            <w:tcW w:w="1945" w:type="pct"/>
            <w:vAlign w:val="center"/>
          </w:tcPr>
          <w:p w:rsidR="00C8239C" w:rsidRPr="00365A2A" w:rsidRDefault="00C8239C" w:rsidP="00C8239C">
            <w:pPr>
              <w:pStyle w:val="Legenda"/>
              <w:jc w:val="both"/>
              <w:rPr>
                <w:rFonts w:cs="Arial"/>
                <w:color w:val="000000"/>
                <w:sz w:val="22"/>
                <w:szCs w:val="22"/>
                <w:lang w:eastAsia="en-US"/>
              </w:rPr>
            </w:pPr>
            <w:r>
              <w:rPr>
                <w:rFonts w:cs="Arial"/>
                <w:color w:val="000000"/>
                <w:sz w:val="22"/>
                <w:szCs w:val="22"/>
                <w:lang w:eastAsia="en-US"/>
              </w:rPr>
              <w:t>Ajuste de redação para adequação.</w:t>
            </w:r>
          </w:p>
        </w:tc>
      </w:tr>
      <w:tr w:rsidR="00C8239C" w:rsidRPr="00697392" w:rsidTr="00C8239C">
        <w:trPr>
          <w:trHeight w:val="2268"/>
        </w:trPr>
        <w:tc>
          <w:tcPr>
            <w:tcW w:w="551" w:type="pct"/>
            <w:vAlign w:val="center"/>
          </w:tcPr>
          <w:p w:rsidR="00C8239C" w:rsidRDefault="00C8239C" w:rsidP="00C8239C">
            <w:pPr>
              <w:pStyle w:val="Legenda"/>
              <w:jc w:val="center"/>
              <w:rPr>
                <w:rFonts w:cs="Arial"/>
                <w:color w:val="000000" w:themeColor="text1"/>
                <w:sz w:val="22"/>
                <w:szCs w:val="22"/>
              </w:rPr>
            </w:pPr>
            <w:r>
              <w:rPr>
                <w:rFonts w:cs="Arial"/>
                <w:color w:val="000000" w:themeColor="text1"/>
                <w:sz w:val="22"/>
                <w:szCs w:val="22"/>
              </w:rPr>
              <w:t>Minuta do Contrato de Concessão</w:t>
            </w:r>
          </w:p>
        </w:tc>
        <w:tc>
          <w:tcPr>
            <w:tcW w:w="616" w:type="pct"/>
            <w:vAlign w:val="center"/>
          </w:tcPr>
          <w:p w:rsidR="00C8239C" w:rsidRDefault="00C8239C" w:rsidP="00C8239C">
            <w:pPr>
              <w:pStyle w:val="Legenda"/>
              <w:jc w:val="center"/>
              <w:rPr>
                <w:rFonts w:cs="Arial"/>
                <w:color w:val="000000" w:themeColor="text1"/>
                <w:sz w:val="22"/>
                <w:szCs w:val="22"/>
              </w:rPr>
            </w:pPr>
            <w:r>
              <w:rPr>
                <w:rFonts w:cs="Arial"/>
                <w:color w:val="000000" w:themeColor="text1"/>
                <w:sz w:val="22"/>
                <w:szCs w:val="22"/>
              </w:rPr>
              <w:t>Alteração</w:t>
            </w:r>
          </w:p>
        </w:tc>
        <w:tc>
          <w:tcPr>
            <w:tcW w:w="363" w:type="pct"/>
            <w:vAlign w:val="center"/>
          </w:tcPr>
          <w:p w:rsidR="00C8239C" w:rsidRDefault="00C8239C" w:rsidP="00C8239C">
            <w:pPr>
              <w:pStyle w:val="Legenda"/>
              <w:jc w:val="center"/>
              <w:rPr>
                <w:rFonts w:cs="Arial"/>
                <w:color w:val="000000" w:themeColor="text1"/>
                <w:sz w:val="22"/>
                <w:szCs w:val="22"/>
              </w:rPr>
            </w:pPr>
            <w:r>
              <w:rPr>
                <w:rFonts w:cs="Arial"/>
                <w:color w:val="000000" w:themeColor="text1"/>
                <w:sz w:val="22"/>
                <w:szCs w:val="22"/>
              </w:rPr>
              <w:t>23.3</w:t>
            </w:r>
          </w:p>
        </w:tc>
        <w:tc>
          <w:tcPr>
            <w:tcW w:w="1525" w:type="pct"/>
            <w:vAlign w:val="center"/>
          </w:tcPr>
          <w:p w:rsidR="00C8239C" w:rsidRPr="0026083C" w:rsidRDefault="00C8239C" w:rsidP="00C8239C">
            <w:pPr>
              <w:pStyle w:val="Legenda"/>
              <w:jc w:val="both"/>
              <w:rPr>
                <w:rFonts w:cs="Arial"/>
                <w:color w:val="000000" w:themeColor="text1"/>
                <w:sz w:val="22"/>
                <w:szCs w:val="22"/>
              </w:rPr>
            </w:pPr>
            <w:r>
              <w:rPr>
                <w:rFonts w:cs="Arial"/>
                <w:color w:val="000000" w:themeColor="text1"/>
                <w:sz w:val="22"/>
                <w:szCs w:val="22"/>
              </w:rPr>
              <w:t xml:space="preserve">A ANP poderá, </w:t>
            </w:r>
            <w:r w:rsidRPr="006E14B4">
              <w:rPr>
                <w:rFonts w:cs="Arial"/>
                <w:color w:val="000000" w:themeColor="text1"/>
                <w:sz w:val="22"/>
                <w:szCs w:val="22"/>
              </w:rPr>
              <w:t>considerando a expectativa de produção e outros fatores pertinentes em consonância com a Legislação Aplicável, conceder uma redução de royalties, para até 5% (cinco por cento)</w:t>
            </w:r>
            <w:r>
              <w:rPr>
                <w:rFonts w:cs="Arial"/>
                <w:color w:val="000000" w:themeColor="text1"/>
                <w:sz w:val="22"/>
                <w:szCs w:val="22"/>
              </w:rPr>
              <w:t>.</w:t>
            </w:r>
          </w:p>
        </w:tc>
        <w:tc>
          <w:tcPr>
            <w:tcW w:w="1945" w:type="pct"/>
            <w:vAlign w:val="center"/>
          </w:tcPr>
          <w:p w:rsidR="00C8239C" w:rsidRPr="00365A2A" w:rsidRDefault="00C8239C" w:rsidP="00C8239C">
            <w:pPr>
              <w:pStyle w:val="Legenda"/>
              <w:jc w:val="both"/>
              <w:rPr>
                <w:rFonts w:cs="Arial"/>
                <w:color w:val="000000"/>
                <w:sz w:val="22"/>
                <w:szCs w:val="22"/>
                <w:lang w:eastAsia="en-US"/>
              </w:rPr>
            </w:pPr>
            <w:r>
              <w:rPr>
                <w:rFonts w:cs="Arial"/>
                <w:color w:val="000000"/>
                <w:sz w:val="22"/>
                <w:szCs w:val="22"/>
                <w:lang w:eastAsia="en-US"/>
              </w:rPr>
              <w:t>Estimular o aumento do fator de recuperação para Campos maduros.</w:t>
            </w:r>
          </w:p>
        </w:tc>
      </w:tr>
      <w:tr w:rsidR="00C8239C" w:rsidRPr="00697392" w:rsidTr="00C8239C">
        <w:trPr>
          <w:trHeight w:val="2268"/>
        </w:trPr>
        <w:tc>
          <w:tcPr>
            <w:tcW w:w="551" w:type="pct"/>
            <w:vAlign w:val="center"/>
          </w:tcPr>
          <w:p w:rsidR="00C8239C" w:rsidRDefault="00C8239C" w:rsidP="00C8239C">
            <w:pPr>
              <w:pStyle w:val="Legenda"/>
              <w:jc w:val="center"/>
              <w:rPr>
                <w:rFonts w:cs="Arial"/>
                <w:color w:val="000000" w:themeColor="text1"/>
                <w:sz w:val="22"/>
                <w:szCs w:val="22"/>
              </w:rPr>
            </w:pPr>
            <w:r>
              <w:rPr>
                <w:rFonts w:cs="Arial"/>
                <w:color w:val="000000" w:themeColor="text1"/>
                <w:sz w:val="22"/>
                <w:szCs w:val="22"/>
              </w:rPr>
              <w:t>Minuta do Contrato de Concessão</w:t>
            </w:r>
          </w:p>
        </w:tc>
        <w:tc>
          <w:tcPr>
            <w:tcW w:w="616" w:type="pct"/>
            <w:vAlign w:val="center"/>
          </w:tcPr>
          <w:p w:rsidR="00C8239C" w:rsidRDefault="00C8239C" w:rsidP="00C8239C">
            <w:pPr>
              <w:pStyle w:val="Legenda"/>
              <w:jc w:val="center"/>
              <w:rPr>
                <w:rFonts w:cs="Arial"/>
                <w:color w:val="000000" w:themeColor="text1"/>
                <w:sz w:val="22"/>
                <w:szCs w:val="22"/>
              </w:rPr>
            </w:pPr>
            <w:r>
              <w:rPr>
                <w:rFonts w:cs="Arial"/>
                <w:color w:val="000000" w:themeColor="text1"/>
                <w:sz w:val="22"/>
                <w:szCs w:val="22"/>
              </w:rPr>
              <w:t>Alteração</w:t>
            </w:r>
          </w:p>
        </w:tc>
        <w:tc>
          <w:tcPr>
            <w:tcW w:w="363" w:type="pct"/>
            <w:vAlign w:val="center"/>
          </w:tcPr>
          <w:p w:rsidR="00C8239C" w:rsidRDefault="00C8239C" w:rsidP="00C8239C">
            <w:pPr>
              <w:pStyle w:val="Legenda"/>
              <w:jc w:val="center"/>
              <w:rPr>
                <w:rFonts w:cs="Arial"/>
                <w:color w:val="000000" w:themeColor="text1"/>
                <w:sz w:val="22"/>
                <w:szCs w:val="22"/>
              </w:rPr>
            </w:pPr>
            <w:r>
              <w:rPr>
                <w:rFonts w:cs="Arial"/>
                <w:color w:val="000000" w:themeColor="text1"/>
                <w:sz w:val="22"/>
                <w:szCs w:val="22"/>
              </w:rPr>
              <w:t>24.1.1</w:t>
            </w:r>
          </w:p>
        </w:tc>
        <w:tc>
          <w:tcPr>
            <w:tcW w:w="1525" w:type="pct"/>
            <w:vAlign w:val="center"/>
          </w:tcPr>
          <w:p w:rsidR="00C8239C" w:rsidRPr="0026083C" w:rsidRDefault="00C8239C" w:rsidP="00C8239C">
            <w:pPr>
              <w:pStyle w:val="Legenda"/>
              <w:jc w:val="both"/>
              <w:rPr>
                <w:rFonts w:cs="Arial"/>
                <w:color w:val="000000" w:themeColor="text1"/>
                <w:sz w:val="22"/>
                <w:szCs w:val="22"/>
              </w:rPr>
            </w:pPr>
            <w:r w:rsidRPr="0059797B">
              <w:rPr>
                <w:rFonts w:cs="Arial"/>
                <w:color w:val="000000" w:themeColor="text1"/>
                <w:sz w:val="22"/>
                <w:szCs w:val="22"/>
              </w:rPr>
              <w:t>O valor a que se refere este parágrafo é devido para</w:t>
            </w:r>
            <w:r>
              <w:rPr>
                <w:rFonts w:cs="Arial"/>
                <w:color w:val="000000" w:themeColor="text1"/>
                <w:sz w:val="22"/>
                <w:szCs w:val="22"/>
              </w:rPr>
              <w:t xml:space="preserve"> cada Campo originado a partir da Área de Concessão.</w:t>
            </w:r>
          </w:p>
        </w:tc>
        <w:tc>
          <w:tcPr>
            <w:tcW w:w="1945" w:type="pct"/>
            <w:vAlign w:val="center"/>
          </w:tcPr>
          <w:p w:rsidR="00C8239C" w:rsidRPr="00365A2A" w:rsidRDefault="00C8239C" w:rsidP="00C8239C">
            <w:pPr>
              <w:pStyle w:val="Legenda"/>
              <w:jc w:val="both"/>
              <w:rPr>
                <w:rFonts w:cs="Arial"/>
                <w:color w:val="000000"/>
                <w:sz w:val="22"/>
                <w:szCs w:val="22"/>
                <w:lang w:eastAsia="en-US"/>
              </w:rPr>
            </w:pPr>
            <w:r>
              <w:rPr>
                <w:rFonts w:cs="Arial"/>
                <w:color w:val="000000"/>
                <w:sz w:val="22"/>
                <w:szCs w:val="22"/>
                <w:lang w:eastAsia="en-US"/>
              </w:rPr>
              <w:t>Uma mesma Área de Concessão pode originar mais de um Campo. A redação sugerida foi adotada pela ANP em rodadas anteriores.</w:t>
            </w:r>
          </w:p>
        </w:tc>
      </w:tr>
      <w:tr w:rsidR="00C8239C" w:rsidRPr="00697392" w:rsidTr="00C8239C">
        <w:trPr>
          <w:trHeight w:val="2268"/>
        </w:trPr>
        <w:tc>
          <w:tcPr>
            <w:tcW w:w="551" w:type="pct"/>
            <w:vAlign w:val="center"/>
          </w:tcPr>
          <w:p w:rsidR="00C8239C" w:rsidRDefault="00C8239C" w:rsidP="00C8239C">
            <w:pPr>
              <w:pStyle w:val="Legenda"/>
              <w:jc w:val="center"/>
              <w:rPr>
                <w:rFonts w:cs="Arial"/>
                <w:color w:val="000000" w:themeColor="text1"/>
                <w:sz w:val="22"/>
                <w:szCs w:val="22"/>
              </w:rPr>
            </w:pPr>
            <w:r>
              <w:rPr>
                <w:rFonts w:cs="Arial"/>
                <w:color w:val="000000" w:themeColor="text1"/>
                <w:sz w:val="22"/>
                <w:szCs w:val="22"/>
              </w:rPr>
              <w:lastRenderedPageBreak/>
              <w:t>Minuta do Contrato de Concessão</w:t>
            </w:r>
          </w:p>
        </w:tc>
        <w:tc>
          <w:tcPr>
            <w:tcW w:w="616" w:type="pct"/>
            <w:vAlign w:val="center"/>
          </w:tcPr>
          <w:p w:rsidR="00C8239C" w:rsidRDefault="00C8239C" w:rsidP="00C8239C">
            <w:pPr>
              <w:pStyle w:val="Legenda"/>
              <w:jc w:val="center"/>
              <w:rPr>
                <w:rFonts w:cs="Arial"/>
                <w:color w:val="000000" w:themeColor="text1"/>
                <w:sz w:val="22"/>
                <w:szCs w:val="22"/>
              </w:rPr>
            </w:pPr>
            <w:r w:rsidRPr="00151465">
              <w:rPr>
                <w:rFonts w:cs="Arial"/>
                <w:color w:val="000000" w:themeColor="text1"/>
                <w:sz w:val="22"/>
                <w:szCs w:val="22"/>
              </w:rPr>
              <w:t>Alteração</w:t>
            </w:r>
          </w:p>
        </w:tc>
        <w:tc>
          <w:tcPr>
            <w:tcW w:w="363" w:type="pct"/>
            <w:vAlign w:val="center"/>
          </w:tcPr>
          <w:p w:rsidR="00C8239C" w:rsidRDefault="00C8239C" w:rsidP="00C8239C">
            <w:pPr>
              <w:pStyle w:val="Legenda"/>
              <w:jc w:val="center"/>
              <w:rPr>
                <w:rFonts w:cs="Arial"/>
                <w:color w:val="000000" w:themeColor="text1"/>
                <w:sz w:val="22"/>
                <w:szCs w:val="22"/>
              </w:rPr>
            </w:pPr>
            <w:r>
              <w:rPr>
                <w:rFonts w:cs="Arial"/>
                <w:color w:val="000000" w:themeColor="text1"/>
                <w:sz w:val="22"/>
                <w:szCs w:val="22"/>
              </w:rPr>
              <w:t>24.2</w:t>
            </w:r>
          </w:p>
        </w:tc>
        <w:tc>
          <w:tcPr>
            <w:tcW w:w="1525" w:type="pct"/>
            <w:vAlign w:val="center"/>
          </w:tcPr>
          <w:p w:rsidR="00C8239C" w:rsidRPr="0026083C" w:rsidRDefault="00C8239C" w:rsidP="00C8239C">
            <w:pPr>
              <w:pStyle w:val="Legenda"/>
              <w:jc w:val="both"/>
              <w:rPr>
                <w:rFonts w:cs="Arial"/>
                <w:color w:val="000000" w:themeColor="text1"/>
                <w:sz w:val="22"/>
                <w:szCs w:val="22"/>
              </w:rPr>
            </w:pPr>
            <w:r>
              <w:rPr>
                <w:rFonts w:cs="Arial"/>
                <w:color w:val="000000" w:themeColor="text1"/>
                <w:sz w:val="22"/>
                <w:szCs w:val="22"/>
              </w:rPr>
              <w:t xml:space="preserve">De 25% (vinte e cinco por cento) até 40% (quarenta por cento) </w:t>
            </w:r>
            <w:r w:rsidRPr="002B3923">
              <w:rPr>
                <w:rFonts w:cs="Arial"/>
                <w:color w:val="000000" w:themeColor="text1"/>
                <w:sz w:val="22"/>
                <w:szCs w:val="22"/>
              </w:rPr>
              <w:t>dos recursos previstos no parágrafo 24.1 deverão ser investidos em atividades de pesquisa e desenvolvimento junto a universidades ou institutos de pesquisa e desenvolvimento nacionais credenciados pela ANP.</w:t>
            </w:r>
          </w:p>
        </w:tc>
        <w:tc>
          <w:tcPr>
            <w:tcW w:w="1945" w:type="pct"/>
            <w:vAlign w:val="center"/>
          </w:tcPr>
          <w:p w:rsidR="00C8239C" w:rsidRPr="002B3923" w:rsidRDefault="00C8239C" w:rsidP="00C8239C">
            <w:pPr>
              <w:pStyle w:val="Legenda"/>
              <w:jc w:val="both"/>
              <w:rPr>
                <w:rFonts w:cs="Arial"/>
                <w:color w:val="000000"/>
                <w:sz w:val="22"/>
                <w:szCs w:val="22"/>
                <w:lang w:eastAsia="en-US"/>
              </w:rPr>
            </w:pPr>
            <w:r w:rsidRPr="002B3923">
              <w:rPr>
                <w:rFonts w:cs="Arial"/>
                <w:color w:val="000000"/>
                <w:sz w:val="22"/>
                <w:szCs w:val="22"/>
                <w:lang w:eastAsia="en-US"/>
              </w:rPr>
              <w:t xml:space="preserve">Propomos a alteração do percentual mínimo de investimento dos recursos previstos no parágrafo 24.1 para 25% de forma a prover maior flexibilidade às empresas petrolíferas na maximização dos resultados oriundos do investimento em </w:t>
            </w:r>
            <w:proofErr w:type="gramStart"/>
            <w:r w:rsidRPr="002B3923">
              <w:rPr>
                <w:rFonts w:cs="Arial"/>
                <w:color w:val="000000"/>
                <w:sz w:val="22"/>
                <w:szCs w:val="22"/>
                <w:lang w:eastAsia="en-US"/>
              </w:rPr>
              <w:t>P,D</w:t>
            </w:r>
            <w:proofErr w:type="gramEnd"/>
            <w:r w:rsidRPr="002B3923">
              <w:rPr>
                <w:rFonts w:cs="Arial"/>
                <w:color w:val="000000"/>
                <w:sz w:val="22"/>
                <w:szCs w:val="22"/>
                <w:lang w:eastAsia="en-US"/>
              </w:rPr>
              <w:t xml:space="preserve">&amp;I e na sua aplicação otimizada. Há que se destacar que o investimento em </w:t>
            </w:r>
            <w:proofErr w:type="gramStart"/>
            <w:r w:rsidRPr="002B3923">
              <w:rPr>
                <w:rFonts w:cs="Arial"/>
                <w:color w:val="000000"/>
                <w:sz w:val="22"/>
                <w:szCs w:val="22"/>
                <w:lang w:eastAsia="en-US"/>
              </w:rPr>
              <w:t>P,D</w:t>
            </w:r>
            <w:proofErr w:type="gramEnd"/>
            <w:r w:rsidRPr="002B3923">
              <w:rPr>
                <w:rFonts w:cs="Arial"/>
                <w:color w:val="000000"/>
                <w:sz w:val="22"/>
                <w:szCs w:val="22"/>
                <w:lang w:eastAsia="en-US"/>
              </w:rPr>
              <w:t xml:space="preserve">&amp;I externo tem se mostrado desafiador nos últimos anos devido </w:t>
            </w:r>
            <w:r>
              <w:rPr>
                <w:rFonts w:cs="Arial"/>
                <w:color w:val="000000"/>
                <w:sz w:val="22"/>
                <w:szCs w:val="22"/>
                <w:lang w:eastAsia="en-US"/>
              </w:rPr>
              <w:t>à</w:t>
            </w:r>
            <w:r w:rsidRPr="002B3923">
              <w:rPr>
                <w:rFonts w:cs="Arial"/>
                <w:color w:val="000000"/>
                <w:sz w:val="22"/>
                <w:szCs w:val="22"/>
                <w:lang w:eastAsia="en-US"/>
              </w:rPr>
              <w:t xml:space="preserve"> limitada capacidade de absorção das Universidades e Institutos de Pesquisa, associada ao crescente aumento da obrigação. Adicionalmente, é importante pontuar que o investimento em </w:t>
            </w:r>
            <w:proofErr w:type="gramStart"/>
            <w:r w:rsidRPr="002B3923">
              <w:rPr>
                <w:rFonts w:cs="Arial"/>
                <w:color w:val="000000"/>
                <w:sz w:val="22"/>
                <w:szCs w:val="22"/>
                <w:lang w:eastAsia="en-US"/>
              </w:rPr>
              <w:t>P,D</w:t>
            </w:r>
            <w:proofErr w:type="gramEnd"/>
            <w:r w:rsidRPr="002B3923">
              <w:rPr>
                <w:rFonts w:cs="Arial"/>
                <w:color w:val="000000"/>
                <w:sz w:val="22"/>
                <w:szCs w:val="22"/>
                <w:lang w:eastAsia="en-US"/>
              </w:rPr>
              <w:t xml:space="preserve">&amp;I interno incentiva a criação de centros de pesquisa das empresas petrolíferas no Brasil, gerando transferência de conhecimento, empregos de alto nível e pesquisa direcionada, a qual agrega valor de forma mais imediata à cadeia de produção de óleo e gás. </w:t>
            </w:r>
          </w:p>
          <w:p w:rsidR="00C8239C" w:rsidRPr="002B3923" w:rsidRDefault="00C8239C" w:rsidP="00C8239C">
            <w:pPr>
              <w:pStyle w:val="Legenda"/>
              <w:jc w:val="both"/>
              <w:rPr>
                <w:rFonts w:cs="Arial"/>
                <w:color w:val="000000"/>
                <w:sz w:val="22"/>
                <w:szCs w:val="22"/>
                <w:lang w:eastAsia="en-US"/>
              </w:rPr>
            </w:pPr>
            <w:r w:rsidRPr="002B3923">
              <w:rPr>
                <w:rFonts w:cs="Arial"/>
                <w:color w:val="000000"/>
                <w:sz w:val="22"/>
                <w:szCs w:val="22"/>
                <w:lang w:eastAsia="en-US"/>
              </w:rPr>
              <w:t>Para corroborar com a afirmação anterior de que definições de porcentagens mínimas arbitrárias geram riscos, propomos um texto para mitig</w:t>
            </w:r>
            <w:r>
              <w:rPr>
                <w:rFonts w:cs="Arial"/>
                <w:color w:val="000000"/>
                <w:sz w:val="22"/>
                <w:szCs w:val="22"/>
                <w:lang w:eastAsia="en-US"/>
              </w:rPr>
              <w:t>á</w:t>
            </w:r>
            <w:r w:rsidRPr="002B3923">
              <w:rPr>
                <w:rFonts w:cs="Arial"/>
                <w:color w:val="000000"/>
                <w:sz w:val="22"/>
                <w:szCs w:val="22"/>
                <w:lang w:eastAsia="en-US"/>
              </w:rPr>
              <w:t>-los, visando</w:t>
            </w:r>
            <w:r>
              <w:rPr>
                <w:rFonts w:cs="Arial"/>
                <w:color w:val="000000"/>
                <w:sz w:val="22"/>
                <w:szCs w:val="22"/>
                <w:lang w:eastAsia="en-US"/>
              </w:rPr>
              <w:t xml:space="preserve"> a</w:t>
            </w:r>
            <w:r w:rsidRPr="002B3923">
              <w:rPr>
                <w:rFonts w:cs="Arial"/>
                <w:color w:val="000000"/>
                <w:sz w:val="22"/>
                <w:szCs w:val="22"/>
                <w:lang w:eastAsia="en-US"/>
              </w:rPr>
              <w:t xml:space="preserve"> oferecer alternativas ao Concessionário para cumprimento de sua obrigação.</w:t>
            </w:r>
          </w:p>
          <w:p w:rsidR="00C8239C" w:rsidRDefault="00C8239C" w:rsidP="00C8239C">
            <w:pPr>
              <w:pStyle w:val="Legenda"/>
              <w:jc w:val="both"/>
              <w:rPr>
                <w:rFonts w:cs="Arial"/>
                <w:color w:val="000000"/>
                <w:sz w:val="22"/>
                <w:szCs w:val="22"/>
                <w:lang w:eastAsia="en-US"/>
              </w:rPr>
            </w:pPr>
            <w:r w:rsidRPr="002B3923">
              <w:rPr>
                <w:rFonts w:cs="Arial"/>
                <w:color w:val="000000"/>
                <w:sz w:val="22"/>
                <w:szCs w:val="22"/>
                <w:lang w:eastAsia="en-US"/>
              </w:rPr>
              <w:t>A segunda alteração visa especificar os tipos de investimento a serem executados na categoria definida, alinhando o texto ao objetivo do Regulamento 3/2015.</w:t>
            </w:r>
            <w:r>
              <w:rPr>
                <w:rFonts w:cs="Arial"/>
                <w:color w:val="000000"/>
                <w:sz w:val="22"/>
                <w:szCs w:val="22"/>
                <w:lang w:eastAsia="en-US"/>
              </w:rPr>
              <w:t xml:space="preserve"> </w:t>
            </w:r>
            <w:r w:rsidRPr="002B3923">
              <w:rPr>
                <w:rFonts w:cs="Arial"/>
                <w:color w:val="000000"/>
                <w:sz w:val="22"/>
                <w:szCs w:val="22"/>
                <w:lang w:eastAsia="en-US"/>
              </w:rPr>
              <w:t xml:space="preserve">Tendo em vista que o novo Regulamento de P&amp;D da ANP 3/2015 incluiu a Inovação como objetivo dos resultados dos investimentos da cláusula, a divisão da alocação dos investimentos entre instituições credenciadas e empresas, conforme apresentado, não colabora com tal objetivo, dado que a inovação tecnológica </w:t>
            </w:r>
            <w:r w:rsidRPr="002B3923">
              <w:rPr>
                <w:rFonts w:cs="Arial"/>
                <w:color w:val="000000"/>
                <w:sz w:val="22"/>
                <w:szCs w:val="22"/>
                <w:lang w:eastAsia="en-US"/>
              </w:rPr>
              <w:lastRenderedPageBreak/>
              <w:t>comprovadamente ocorre nas empresas (Cruz, 2003  http://rae.fgv.br/sites/rae.fgv.br/files/artigos/1765.pdf)</w:t>
            </w:r>
            <w:r>
              <w:rPr>
                <w:rFonts w:cs="Arial"/>
                <w:color w:val="000000"/>
                <w:sz w:val="22"/>
                <w:szCs w:val="22"/>
                <w:lang w:eastAsia="en-US"/>
              </w:rPr>
              <w:t>.</w:t>
            </w:r>
          </w:p>
          <w:p w:rsidR="00C8239C" w:rsidRPr="002B3923" w:rsidRDefault="00C8239C" w:rsidP="00C8239C">
            <w:pPr>
              <w:rPr>
                <w:lang w:eastAsia="en-US"/>
              </w:rPr>
            </w:pPr>
          </w:p>
          <w:p w:rsidR="00C8239C" w:rsidRPr="002B3923" w:rsidRDefault="00C8239C" w:rsidP="00C8239C">
            <w:pPr>
              <w:pStyle w:val="Legenda"/>
              <w:jc w:val="both"/>
              <w:rPr>
                <w:rFonts w:cs="Arial"/>
                <w:color w:val="000000"/>
                <w:sz w:val="22"/>
                <w:szCs w:val="22"/>
                <w:lang w:eastAsia="en-US"/>
              </w:rPr>
            </w:pPr>
            <w:r w:rsidRPr="002B3923">
              <w:rPr>
                <w:rFonts w:cs="Arial"/>
                <w:color w:val="000000"/>
                <w:sz w:val="22"/>
                <w:szCs w:val="22"/>
                <w:lang w:eastAsia="en-US"/>
              </w:rPr>
              <w:t xml:space="preserve">A necessidade de se promover a mobilidade do talento e a transferência de conhecimento do mundo acadêmico para o empresarial é por si só um incentivo natural e suficiente ao envolvimento tanto da academia quanto das empresas nestes projetos, sem que seja necessária uma intervenção da ANP para determinar a alocação de um percentual mínimo de investimento em um ou outro ator. O modelo existente, que privilegia o investimento mandatório em instituições credenciadas, não se demonstrou eficiente para a promoção da inovação e do desenvolvimento da indústria local. </w:t>
            </w:r>
          </w:p>
          <w:p w:rsidR="00C8239C" w:rsidRDefault="00C8239C" w:rsidP="00C8239C">
            <w:pPr>
              <w:pStyle w:val="Legenda"/>
              <w:jc w:val="both"/>
              <w:rPr>
                <w:rFonts w:cs="Arial"/>
                <w:color w:val="000000"/>
                <w:sz w:val="22"/>
                <w:szCs w:val="22"/>
                <w:lang w:eastAsia="en-US"/>
              </w:rPr>
            </w:pPr>
            <w:r w:rsidRPr="002B3923">
              <w:rPr>
                <w:rFonts w:cs="Arial"/>
                <w:color w:val="000000"/>
                <w:sz w:val="22"/>
                <w:szCs w:val="22"/>
                <w:lang w:eastAsia="en-US"/>
              </w:rPr>
              <w:t xml:space="preserve">Adicionalmente, a presente sugestão justifica-se pela impossibilidade de cumprimento da obrigação prevista no modelo atual, tendo em vista que, conforme explicado anteriormente, as instituições credenciadas pela ANP podem receber os investimentos em </w:t>
            </w:r>
            <w:proofErr w:type="gramStart"/>
            <w:r w:rsidRPr="002B3923">
              <w:rPr>
                <w:rFonts w:cs="Arial"/>
                <w:color w:val="000000"/>
                <w:sz w:val="22"/>
                <w:szCs w:val="22"/>
                <w:lang w:eastAsia="en-US"/>
              </w:rPr>
              <w:t>P,D</w:t>
            </w:r>
            <w:proofErr w:type="gramEnd"/>
            <w:r w:rsidRPr="002B3923">
              <w:rPr>
                <w:rFonts w:cs="Arial"/>
                <w:color w:val="000000"/>
                <w:sz w:val="22"/>
                <w:szCs w:val="22"/>
                <w:lang w:eastAsia="en-US"/>
              </w:rPr>
              <w:t>&amp;I disciplinados por este regulamento até um limite máximo além do qual não terão recursos humanos ou materiais para conduzir novas pesquisas. É preciso, portanto, ampliar o leque e flexibilizar as instituições aptas a receber investimentos</w:t>
            </w:r>
            <w:r>
              <w:rPr>
                <w:rFonts w:cs="Arial"/>
                <w:color w:val="000000"/>
                <w:sz w:val="22"/>
                <w:szCs w:val="22"/>
                <w:lang w:eastAsia="en-US"/>
              </w:rPr>
              <w:t>.</w:t>
            </w:r>
          </w:p>
        </w:tc>
      </w:tr>
      <w:tr w:rsidR="00C8239C" w:rsidRPr="00697392" w:rsidTr="00C8239C">
        <w:trPr>
          <w:trHeight w:val="2268"/>
        </w:trPr>
        <w:tc>
          <w:tcPr>
            <w:tcW w:w="551" w:type="pct"/>
            <w:vAlign w:val="center"/>
          </w:tcPr>
          <w:p w:rsidR="00C8239C" w:rsidRDefault="00C8239C" w:rsidP="00C8239C">
            <w:pPr>
              <w:pStyle w:val="Legenda"/>
              <w:jc w:val="center"/>
              <w:rPr>
                <w:rFonts w:cs="Arial"/>
                <w:color w:val="000000" w:themeColor="text1"/>
                <w:sz w:val="22"/>
                <w:szCs w:val="22"/>
              </w:rPr>
            </w:pPr>
            <w:r>
              <w:rPr>
                <w:rFonts w:cs="Arial"/>
                <w:color w:val="000000" w:themeColor="text1"/>
                <w:sz w:val="22"/>
                <w:szCs w:val="22"/>
              </w:rPr>
              <w:lastRenderedPageBreak/>
              <w:t>Minuta do Contrato de Concessão</w:t>
            </w:r>
          </w:p>
        </w:tc>
        <w:tc>
          <w:tcPr>
            <w:tcW w:w="616" w:type="pct"/>
            <w:vAlign w:val="center"/>
          </w:tcPr>
          <w:p w:rsidR="00C8239C" w:rsidRDefault="00C8239C" w:rsidP="00C8239C">
            <w:pPr>
              <w:pStyle w:val="Legenda"/>
              <w:jc w:val="center"/>
              <w:rPr>
                <w:rFonts w:cs="Arial"/>
                <w:color w:val="000000" w:themeColor="text1"/>
                <w:sz w:val="22"/>
                <w:szCs w:val="22"/>
              </w:rPr>
            </w:pPr>
            <w:r w:rsidRPr="00151465">
              <w:rPr>
                <w:rFonts w:cs="Arial"/>
                <w:color w:val="000000" w:themeColor="text1"/>
                <w:sz w:val="22"/>
                <w:szCs w:val="22"/>
              </w:rPr>
              <w:t>Alteração</w:t>
            </w:r>
          </w:p>
        </w:tc>
        <w:tc>
          <w:tcPr>
            <w:tcW w:w="363" w:type="pct"/>
            <w:vAlign w:val="center"/>
          </w:tcPr>
          <w:p w:rsidR="00C8239C" w:rsidRDefault="00C8239C" w:rsidP="00C8239C">
            <w:pPr>
              <w:pStyle w:val="Legenda"/>
              <w:jc w:val="center"/>
              <w:rPr>
                <w:rFonts w:cs="Arial"/>
                <w:color w:val="000000" w:themeColor="text1"/>
                <w:sz w:val="22"/>
                <w:szCs w:val="22"/>
              </w:rPr>
            </w:pPr>
            <w:r>
              <w:rPr>
                <w:rFonts w:cs="Arial"/>
                <w:color w:val="000000" w:themeColor="text1"/>
                <w:sz w:val="22"/>
                <w:szCs w:val="22"/>
              </w:rPr>
              <w:t>24.3</w:t>
            </w:r>
          </w:p>
        </w:tc>
        <w:tc>
          <w:tcPr>
            <w:tcW w:w="1525" w:type="pct"/>
            <w:vAlign w:val="center"/>
          </w:tcPr>
          <w:p w:rsidR="00C8239C" w:rsidRPr="0026083C" w:rsidRDefault="00C8239C" w:rsidP="00C8239C">
            <w:pPr>
              <w:pStyle w:val="Legenda"/>
              <w:jc w:val="both"/>
              <w:rPr>
                <w:rFonts w:cs="Arial"/>
                <w:color w:val="000000" w:themeColor="text1"/>
                <w:sz w:val="22"/>
                <w:szCs w:val="22"/>
              </w:rPr>
            </w:pPr>
            <w:r>
              <w:rPr>
                <w:rFonts w:cs="Arial"/>
                <w:color w:val="000000" w:themeColor="text1"/>
                <w:sz w:val="22"/>
                <w:szCs w:val="22"/>
              </w:rPr>
              <w:t xml:space="preserve">De 25% (vinte e cinco por cento) até 40% (quarenta por cento) </w:t>
            </w:r>
            <w:r w:rsidRPr="002B3923">
              <w:rPr>
                <w:rFonts w:cs="Arial"/>
                <w:color w:val="000000" w:themeColor="text1"/>
                <w:sz w:val="22"/>
                <w:szCs w:val="22"/>
              </w:rPr>
              <w:t>dos recursos previstos no parágrafo 24.1 deverão ser investidos em atividades de pesquisa e desenvolvimento e inovação, que tenham por objetivo resultar em produtos ou processos com inovação tecnológica junto a Empresas Brasileiras de qualquer porte, incluindo se assim for proposto e aprovado pelo COMTEC, programas tecnológicos para desenvolvimento e capacitação de fornecedores nos termos da Legislação Aplicável</w:t>
            </w:r>
            <w:r>
              <w:rPr>
                <w:rFonts w:cs="Arial"/>
                <w:color w:val="000000" w:themeColor="text1"/>
                <w:sz w:val="22"/>
                <w:szCs w:val="22"/>
              </w:rPr>
              <w:t>.</w:t>
            </w:r>
          </w:p>
        </w:tc>
        <w:tc>
          <w:tcPr>
            <w:tcW w:w="1945" w:type="pct"/>
            <w:vAlign w:val="center"/>
          </w:tcPr>
          <w:p w:rsidR="00C8239C" w:rsidRPr="002B3923" w:rsidRDefault="00C8239C" w:rsidP="00C8239C">
            <w:pPr>
              <w:pStyle w:val="Legenda"/>
              <w:jc w:val="both"/>
              <w:rPr>
                <w:rFonts w:cs="Arial"/>
                <w:color w:val="000000"/>
                <w:sz w:val="22"/>
                <w:szCs w:val="22"/>
                <w:lang w:eastAsia="en-US"/>
              </w:rPr>
            </w:pPr>
            <w:r w:rsidRPr="002B3923">
              <w:rPr>
                <w:rFonts w:cs="Arial"/>
                <w:color w:val="000000"/>
                <w:sz w:val="22"/>
                <w:szCs w:val="22"/>
                <w:lang w:eastAsia="en-US"/>
              </w:rPr>
              <w:t xml:space="preserve">O recém implementado Regulamento ANP 3/2015 nos seus itens 3.6, 3.7, 3.8, 3.9, 4.7, 4.8 e 4.9 já contempla a recomendação desta </w:t>
            </w:r>
            <w:proofErr w:type="spellStart"/>
            <w:r w:rsidRPr="002B3923">
              <w:rPr>
                <w:rFonts w:cs="Arial"/>
                <w:color w:val="000000"/>
                <w:sz w:val="22"/>
                <w:szCs w:val="22"/>
                <w:lang w:eastAsia="en-US"/>
              </w:rPr>
              <w:t>sub-cláusula</w:t>
            </w:r>
            <w:proofErr w:type="spellEnd"/>
            <w:r w:rsidRPr="002B3923">
              <w:rPr>
                <w:rFonts w:cs="Arial"/>
                <w:color w:val="000000"/>
                <w:sz w:val="22"/>
                <w:szCs w:val="22"/>
                <w:lang w:eastAsia="en-US"/>
              </w:rPr>
              <w:t xml:space="preserve"> e, portanto, já prevê o fomento do desenvolvimento da indústria nacional, a ampliação do conteúdo local e o desenvolvimento e capacitação de fornecedores nacionais quando permite que sejam feitos investimentos em Empresas Brasileiras. </w:t>
            </w:r>
          </w:p>
          <w:p w:rsidR="00C8239C" w:rsidRPr="002B3923" w:rsidRDefault="00C8239C" w:rsidP="00C8239C">
            <w:pPr>
              <w:pStyle w:val="Legenda"/>
              <w:jc w:val="both"/>
              <w:rPr>
                <w:rFonts w:cs="Arial"/>
                <w:color w:val="000000"/>
                <w:sz w:val="22"/>
                <w:szCs w:val="22"/>
                <w:lang w:eastAsia="en-US"/>
              </w:rPr>
            </w:pPr>
            <w:r w:rsidRPr="002B3923">
              <w:rPr>
                <w:rFonts w:cs="Arial"/>
                <w:color w:val="000000"/>
                <w:sz w:val="22"/>
                <w:szCs w:val="22"/>
                <w:lang w:eastAsia="en-US"/>
              </w:rPr>
              <w:t>Como já exposto nos comentários gerais, restrições adicionais às já existentes na regulamentação não trarão o efeito esperado, mas sim, gerarão ineficiências (reserva de mercado) e riscos ao cumprimento da obrigação.</w:t>
            </w:r>
          </w:p>
          <w:p w:rsidR="00C8239C" w:rsidRPr="002B3923" w:rsidRDefault="00C8239C" w:rsidP="00C8239C">
            <w:pPr>
              <w:pStyle w:val="Legenda"/>
              <w:jc w:val="both"/>
              <w:rPr>
                <w:rFonts w:cs="Arial"/>
                <w:color w:val="000000"/>
                <w:sz w:val="22"/>
                <w:szCs w:val="22"/>
                <w:lang w:eastAsia="en-US"/>
              </w:rPr>
            </w:pPr>
            <w:r w:rsidRPr="002B3923">
              <w:rPr>
                <w:rFonts w:cs="Arial"/>
                <w:color w:val="000000"/>
                <w:sz w:val="22"/>
                <w:szCs w:val="22"/>
                <w:lang w:eastAsia="en-US"/>
              </w:rPr>
              <w:t>Para corroborar com a afirmação anterior de que definições de porcentagens mínimas arbitrárias geram riscos, estamos propomos um texto para mitiga-lo, à medida que oferece alternativas ao Concessionário para cumprimento de sua obrigação. Não há política nacional nem comprovação de que é viável investir de 30 a 40% da obrigação em programa tecnológico de desenvolvimento de fornecedores de até médio porte, que é a definição da regra atual constante do Regulamento 3/2015.</w:t>
            </w:r>
          </w:p>
          <w:p w:rsidR="00C8239C" w:rsidRPr="002B3923" w:rsidRDefault="00C8239C" w:rsidP="00C8239C">
            <w:pPr>
              <w:pStyle w:val="Legenda"/>
              <w:jc w:val="both"/>
              <w:rPr>
                <w:rFonts w:cs="Arial"/>
                <w:color w:val="000000"/>
                <w:sz w:val="22"/>
                <w:szCs w:val="22"/>
                <w:lang w:eastAsia="en-US"/>
              </w:rPr>
            </w:pPr>
            <w:r w:rsidRPr="002B3923">
              <w:rPr>
                <w:rFonts w:cs="Arial"/>
                <w:color w:val="000000"/>
                <w:sz w:val="22"/>
                <w:szCs w:val="22"/>
                <w:lang w:eastAsia="en-US"/>
              </w:rPr>
              <w:t xml:space="preserve">A outra alternativa de texto para mitigar os riscos é condicionar eventuais definições de porcentagens mínimas à aprovação do COMTEC, garantindo assim o escrutínio necessário e apresentação de embasamento técnico para </w:t>
            </w:r>
            <w:proofErr w:type="spellStart"/>
            <w:r w:rsidRPr="002B3923">
              <w:rPr>
                <w:rFonts w:cs="Arial"/>
                <w:color w:val="000000"/>
                <w:sz w:val="22"/>
                <w:szCs w:val="22"/>
                <w:lang w:eastAsia="en-US"/>
              </w:rPr>
              <w:t>atomada</w:t>
            </w:r>
            <w:proofErr w:type="spellEnd"/>
            <w:r w:rsidRPr="002B3923">
              <w:rPr>
                <w:rFonts w:cs="Arial"/>
                <w:color w:val="000000"/>
                <w:sz w:val="22"/>
                <w:szCs w:val="22"/>
                <w:lang w:eastAsia="en-US"/>
              </w:rPr>
              <w:t xml:space="preserve"> de decisão colegiada.</w:t>
            </w:r>
          </w:p>
          <w:p w:rsidR="00C8239C" w:rsidRPr="002B3923" w:rsidRDefault="00C8239C" w:rsidP="00C8239C">
            <w:pPr>
              <w:pStyle w:val="Legenda"/>
              <w:jc w:val="both"/>
              <w:rPr>
                <w:rFonts w:cs="Arial"/>
                <w:color w:val="000000"/>
                <w:sz w:val="22"/>
                <w:szCs w:val="22"/>
                <w:lang w:eastAsia="en-US"/>
              </w:rPr>
            </w:pPr>
            <w:r w:rsidRPr="002B3923">
              <w:rPr>
                <w:rFonts w:cs="Arial"/>
                <w:color w:val="000000"/>
                <w:sz w:val="22"/>
                <w:szCs w:val="22"/>
                <w:lang w:eastAsia="en-US"/>
              </w:rPr>
              <w:t xml:space="preserve">A última alteração sugerida visa alinhar o texto à regulamentação atual de P&amp;D (ANP 3/2015) e também procura não limitar a aplicação dos investimentos em P&amp;D somente a atuais fornecedores da indústria de Petróleo e Gás, já que a </w:t>
            </w:r>
            <w:r w:rsidRPr="002B3923">
              <w:rPr>
                <w:rFonts w:cs="Arial"/>
                <w:color w:val="000000"/>
                <w:sz w:val="22"/>
                <w:szCs w:val="22"/>
                <w:lang w:eastAsia="en-US"/>
              </w:rPr>
              <w:lastRenderedPageBreak/>
              <w:t>inovação promove a interconexão de empresas fornecedoras de outras cadeias produtivas. O texto atual traz novamente restrições desnecessárias ao cumprimento da obrigação.</w:t>
            </w:r>
          </w:p>
          <w:p w:rsidR="00C8239C" w:rsidRDefault="00C8239C" w:rsidP="00C8239C">
            <w:pPr>
              <w:pStyle w:val="Legenda"/>
              <w:jc w:val="both"/>
              <w:rPr>
                <w:rFonts w:cs="Arial"/>
                <w:color w:val="000000"/>
                <w:sz w:val="22"/>
                <w:szCs w:val="22"/>
                <w:lang w:eastAsia="en-US"/>
              </w:rPr>
            </w:pPr>
            <w:r w:rsidRPr="002B3923">
              <w:rPr>
                <w:rFonts w:cs="Arial"/>
                <w:color w:val="000000"/>
                <w:sz w:val="22"/>
                <w:szCs w:val="22"/>
                <w:lang w:eastAsia="en-US"/>
              </w:rPr>
              <w:t xml:space="preserve">Além disso, é importante ressaltar que os investimentos da verba de P&amp;D devem ser orientados à execução de projetos de pesquisa e desenvolvimento de novos produtos, processos e metodologias, que a médio e longo prazo resultem na melhoria da competitividade da indústria Brasileira. No que se refere ao desenvolvimento da cadeia de fornecedores, é importante registrar que a contribuição do investimento em </w:t>
            </w:r>
            <w:proofErr w:type="gramStart"/>
            <w:r w:rsidRPr="002B3923">
              <w:rPr>
                <w:rFonts w:cs="Arial"/>
                <w:color w:val="000000"/>
                <w:sz w:val="22"/>
                <w:szCs w:val="22"/>
                <w:lang w:eastAsia="en-US"/>
              </w:rPr>
              <w:t>P,D</w:t>
            </w:r>
            <w:proofErr w:type="gramEnd"/>
            <w:r w:rsidRPr="002B3923">
              <w:rPr>
                <w:rFonts w:cs="Arial"/>
                <w:color w:val="000000"/>
                <w:sz w:val="22"/>
                <w:szCs w:val="22"/>
                <w:lang w:eastAsia="en-US"/>
              </w:rPr>
              <w:t xml:space="preserve">&amp;I não deve desviar o foco incentivar o aumento de conteúdo local especificamente intensivo em tecnologia. O desenvolvimento de maneira mais genérica da cadeia de fornecedores é um objetivo chave e uma necessidade do país, mas deve ser alcançado por outros meios e desvinculado dos objetivos de P&amp;D. Na área de P&amp;D, a prioridade é a realização de inovações, com critérios de excelência. Entre as várias metas de desenvolvimento local, o foco da pesquisa nacional deve incluir o desenvolvimento de inovações que venham a viabilizar tecnicamente e/ou economicamente as jazidas de </w:t>
            </w:r>
            <w:proofErr w:type="spellStart"/>
            <w:r w:rsidRPr="002B3923">
              <w:rPr>
                <w:rFonts w:cs="Arial"/>
                <w:color w:val="000000"/>
                <w:sz w:val="22"/>
                <w:szCs w:val="22"/>
                <w:lang w:eastAsia="en-US"/>
              </w:rPr>
              <w:t>pre-sal</w:t>
            </w:r>
            <w:proofErr w:type="spellEnd"/>
            <w:r w:rsidRPr="002B3923">
              <w:rPr>
                <w:rFonts w:cs="Arial"/>
                <w:color w:val="000000"/>
                <w:sz w:val="22"/>
                <w:szCs w:val="22"/>
                <w:lang w:eastAsia="en-US"/>
              </w:rPr>
              <w:t>, já que estas podem trazer muitos ganhos futuros ao país, com Royalties, Impostos, empregos e geração de empresas localmente. As parcerias entre operadoras e as empresas fornecedoras já são incentivadas e aceitas pelas regras atuais, o que já favorece a geração de nova indústria local para fornecer esses novos produtos e serviços sempre que há oportunidade.</w:t>
            </w:r>
          </w:p>
        </w:tc>
      </w:tr>
      <w:tr w:rsidR="00C8239C" w:rsidRPr="00697392" w:rsidTr="00C8239C">
        <w:trPr>
          <w:trHeight w:val="2268"/>
        </w:trPr>
        <w:tc>
          <w:tcPr>
            <w:tcW w:w="551" w:type="pct"/>
            <w:vAlign w:val="center"/>
          </w:tcPr>
          <w:p w:rsidR="00C8239C" w:rsidRDefault="00C8239C" w:rsidP="00C8239C">
            <w:pPr>
              <w:pStyle w:val="Legenda"/>
              <w:jc w:val="center"/>
              <w:rPr>
                <w:rFonts w:cs="Arial"/>
                <w:color w:val="000000" w:themeColor="text1"/>
                <w:sz w:val="22"/>
                <w:szCs w:val="22"/>
              </w:rPr>
            </w:pPr>
            <w:r>
              <w:rPr>
                <w:rFonts w:cs="Arial"/>
                <w:color w:val="000000" w:themeColor="text1"/>
                <w:sz w:val="22"/>
                <w:szCs w:val="22"/>
              </w:rPr>
              <w:lastRenderedPageBreak/>
              <w:t>Minuta do Contrato de Concessão</w:t>
            </w:r>
          </w:p>
        </w:tc>
        <w:tc>
          <w:tcPr>
            <w:tcW w:w="616" w:type="pct"/>
            <w:vAlign w:val="center"/>
          </w:tcPr>
          <w:p w:rsidR="00C8239C" w:rsidRDefault="00C8239C" w:rsidP="00C8239C">
            <w:pPr>
              <w:pStyle w:val="Legenda"/>
              <w:jc w:val="center"/>
              <w:rPr>
                <w:rFonts w:cs="Arial"/>
                <w:color w:val="000000" w:themeColor="text1"/>
                <w:sz w:val="22"/>
                <w:szCs w:val="22"/>
              </w:rPr>
            </w:pPr>
            <w:r w:rsidRPr="00151465">
              <w:rPr>
                <w:rFonts w:cs="Arial"/>
                <w:color w:val="000000" w:themeColor="text1"/>
                <w:sz w:val="22"/>
                <w:szCs w:val="22"/>
              </w:rPr>
              <w:t>Alteração</w:t>
            </w:r>
          </w:p>
        </w:tc>
        <w:tc>
          <w:tcPr>
            <w:tcW w:w="363" w:type="pct"/>
            <w:vAlign w:val="center"/>
          </w:tcPr>
          <w:p w:rsidR="00C8239C" w:rsidRDefault="00C8239C" w:rsidP="00C8239C">
            <w:pPr>
              <w:pStyle w:val="Legenda"/>
              <w:jc w:val="center"/>
              <w:rPr>
                <w:rFonts w:cs="Arial"/>
                <w:color w:val="000000" w:themeColor="text1"/>
                <w:sz w:val="22"/>
                <w:szCs w:val="22"/>
              </w:rPr>
            </w:pPr>
            <w:r>
              <w:rPr>
                <w:rFonts w:cs="Arial"/>
                <w:color w:val="000000" w:themeColor="text1"/>
                <w:sz w:val="22"/>
                <w:szCs w:val="22"/>
              </w:rPr>
              <w:t>24.4</w:t>
            </w:r>
          </w:p>
        </w:tc>
        <w:tc>
          <w:tcPr>
            <w:tcW w:w="1525" w:type="pct"/>
            <w:vAlign w:val="center"/>
          </w:tcPr>
          <w:p w:rsidR="00C8239C" w:rsidRPr="0026083C" w:rsidRDefault="00C8239C" w:rsidP="00C8239C">
            <w:pPr>
              <w:pStyle w:val="Legenda"/>
              <w:jc w:val="both"/>
              <w:rPr>
                <w:rFonts w:cs="Arial"/>
                <w:color w:val="000000" w:themeColor="text1"/>
                <w:sz w:val="22"/>
                <w:szCs w:val="22"/>
              </w:rPr>
            </w:pPr>
            <w:r w:rsidRPr="0039350E">
              <w:rPr>
                <w:rFonts w:cs="Arial"/>
                <w:color w:val="000000" w:themeColor="text1"/>
                <w:sz w:val="22"/>
                <w:szCs w:val="22"/>
              </w:rPr>
              <w:t>O saldo remanescente das Despesas Qualificadas como Pesquisa, Desenvolvimento e Inovação, após observância dos parágrafos 24.2 e 24.3, poderá ser investido em atividades de pesquisa, desenvolvimento e inovação realizadas em instalações do próprio Concessionário ou de suas Afiliadas, localizadas no Brasil, ou em</w:t>
            </w:r>
            <w:r>
              <w:rPr>
                <w:rFonts w:cs="Arial"/>
                <w:color w:val="000000" w:themeColor="text1"/>
                <w:sz w:val="22"/>
                <w:szCs w:val="22"/>
              </w:rPr>
              <w:t xml:space="preserve"> </w:t>
            </w:r>
            <w:r w:rsidRPr="0039350E">
              <w:rPr>
                <w:rFonts w:cs="Arial"/>
                <w:color w:val="000000" w:themeColor="text1"/>
                <w:sz w:val="22"/>
                <w:szCs w:val="22"/>
              </w:rPr>
              <w:t>Empresas Brasileiras, ou em universidades ou institutos de pesquisa e desenvolvimento credenciados pela ANP.</w:t>
            </w:r>
          </w:p>
        </w:tc>
        <w:tc>
          <w:tcPr>
            <w:tcW w:w="1945" w:type="pct"/>
            <w:vAlign w:val="center"/>
          </w:tcPr>
          <w:p w:rsidR="00C8239C" w:rsidRDefault="00C8239C" w:rsidP="00C8239C">
            <w:pPr>
              <w:pStyle w:val="Legenda"/>
              <w:jc w:val="both"/>
              <w:rPr>
                <w:rFonts w:cs="Arial"/>
                <w:color w:val="000000"/>
                <w:sz w:val="22"/>
                <w:szCs w:val="22"/>
                <w:lang w:eastAsia="en-US"/>
              </w:rPr>
            </w:pPr>
            <w:r w:rsidRPr="0039350E">
              <w:rPr>
                <w:rFonts w:cs="Arial"/>
                <w:color w:val="000000"/>
                <w:sz w:val="22"/>
                <w:szCs w:val="22"/>
                <w:lang w:eastAsia="en-US"/>
              </w:rPr>
              <w:t xml:space="preserve">Para ser manter a coerência e alinhamento com as redações dos últimos contratos de concessão da 11ª e 12ª Rodadas de Licitações, como também conforme o Contrato de Partilha relativo à 1ª Rodada de Licitações do </w:t>
            </w:r>
            <w:proofErr w:type="spellStart"/>
            <w:r w:rsidRPr="0039350E">
              <w:rPr>
                <w:rFonts w:cs="Arial"/>
                <w:color w:val="000000"/>
                <w:sz w:val="22"/>
                <w:szCs w:val="22"/>
                <w:lang w:eastAsia="en-US"/>
              </w:rPr>
              <w:t>Pré</w:t>
            </w:r>
            <w:proofErr w:type="spellEnd"/>
            <w:r w:rsidRPr="0039350E">
              <w:rPr>
                <w:rFonts w:cs="Arial"/>
                <w:color w:val="000000"/>
                <w:sz w:val="22"/>
                <w:szCs w:val="22"/>
                <w:lang w:eastAsia="en-US"/>
              </w:rPr>
              <w:t>-Sal, onde se prevê que o remanescente dos recursos é exclusivo para ser despendido nas instalações dos concessionários ou suas afiliadas no país ou em sociedades empresariais da indústria do petróleo, independentes destas atividades estarem relacionadas às operações deste contrato. Além disso, alteração sugerida para não limitar os investimentos em empresas do setor, pois a inovação pode ser gerada através da interação com empresas de outros setores produtivos.</w:t>
            </w:r>
          </w:p>
        </w:tc>
      </w:tr>
      <w:tr w:rsidR="00C8239C" w:rsidRPr="00697392" w:rsidTr="00C8239C">
        <w:trPr>
          <w:trHeight w:val="2268"/>
        </w:trPr>
        <w:tc>
          <w:tcPr>
            <w:tcW w:w="551" w:type="pct"/>
            <w:vAlign w:val="center"/>
          </w:tcPr>
          <w:p w:rsidR="00C8239C" w:rsidRDefault="00C8239C" w:rsidP="00C8239C">
            <w:pPr>
              <w:pStyle w:val="Legenda"/>
              <w:jc w:val="center"/>
              <w:rPr>
                <w:rFonts w:cs="Arial"/>
                <w:color w:val="000000" w:themeColor="text1"/>
                <w:sz w:val="22"/>
                <w:szCs w:val="22"/>
              </w:rPr>
            </w:pPr>
            <w:r>
              <w:rPr>
                <w:rFonts w:cs="Arial"/>
                <w:color w:val="000000" w:themeColor="text1"/>
                <w:sz w:val="22"/>
                <w:szCs w:val="22"/>
              </w:rPr>
              <w:t>Minuta do Contrato de Concessão</w:t>
            </w:r>
          </w:p>
        </w:tc>
        <w:tc>
          <w:tcPr>
            <w:tcW w:w="616" w:type="pct"/>
            <w:vAlign w:val="center"/>
          </w:tcPr>
          <w:p w:rsidR="00C8239C" w:rsidRDefault="00C8239C" w:rsidP="00C8239C">
            <w:pPr>
              <w:pStyle w:val="Legenda"/>
              <w:jc w:val="center"/>
              <w:rPr>
                <w:rFonts w:cs="Arial"/>
                <w:color w:val="000000" w:themeColor="text1"/>
                <w:sz w:val="22"/>
                <w:szCs w:val="22"/>
              </w:rPr>
            </w:pPr>
            <w:r>
              <w:rPr>
                <w:rFonts w:cs="Arial"/>
                <w:color w:val="000000" w:themeColor="text1"/>
                <w:sz w:val="22"/>
                <w:szCs w:val="22"/>
              </w:rPr>
              <w:t>Exclusão</w:t>
            </w:r>
          </w:p>
        </w:tc>
        <w:tc>
          <w:tcPr>
            <w:tcW w:w="363" w:type="pct"/>
            <w:vAlign w:val="center"/>
          </w:tcPr>
          <w:p w:rsidR="00C8239C" w:rsidRDefault="00C8239C" w:rsidP="00C8239C">
            <w:pPr>
              <w:pStyle w:val="Legenda"/>
              <w:jc w:val="center"/>
              <w:rPr>
                <w:rFonts w:cs="Arial"/>
                <w:color w:val="000000" w:themeColor="text1"/>
                <w:sz w:val="22"/>
                <w:szCs w:val="22"/>
              </w:rPr>
            </w:pPr>
            <w:r>
              <w:rPr>
                <w:rFonts w:cs="Arial"/>
                <w:color w:val="000000" w:themeColor="text1"/>
                <w:sz w:val="22"/>
                <w:szCs w:val="22"/>
              </w:rPr>
              <w:t>27.2.5</w:t>
            </w:r>
          </w:p>
        </w:tc>
        <w:tc>
          <w:tcPr>
            <w:tcW w:w="1525" w:type="pct"/>
            <w:vAlign w:val="center"/>
          </w:tcPr>
          <w:p w:rsidR="00C8239C" w:rsidRPr="0026083C" w:rsidRDefault="00C8239C" w:rsidP="00C8239C">
            <w:pPr>
              <w:pStyle w:val="Legenda"/>
              <w:jc w:val="both"/>
              <w:rPr>
                <w:rFonts w:cs="Arial"/>
                <w:color w:val="000000" w:themeColor="text1"/>
                <w:sz w:val="22"/>
                <w:szCs w:val="22"/>
              </w:rPr>
            </w:pPr>
          </w:p>
        </w:tc>
        <w:tc>
          <w:tcPr>
            <w:tcW w:w="1945" w:type="pct"/>
            <w:vAlign w:val="center"/>
          </w:tcPr>
          <w:p w:rsidR="00C8239C" w:rsidRPr="00365A2A" w:rsidRDefault="00C8239C" w:rsidP="00C8239C">
            <w:pPr>
              <w:pStyle w:val="Legenda"/>
              <w:jc w:val="both"/>
              <w:rPr>
                <w:rFonts w:cs="Arial"/>
                <w:color w:val="000000"/>
                <w:sz w:val="22"/>
                <w:szCs w:val="22"/>
                <w:lang w:eastAsia="en-US"/>
              </w:rPr>
            </w:pPr>
            <w:r>
              <w:rPr>
                <w:rFonts w:cs="Arial"/>
                <w:color w:val="000000"/>
                <w:sz w:val="22"/>
                <w:szCs w:val="22"/>
                <w:lang w:eastAsia="en-US"/>
              </w:rPr>
              <w:t>Já está considerado na alínea a da Cláusula 27.1 e na Cláusula 27.2.3.</w:t>
            </w:r>
          </w:p>
        </w:tc>
      </w:tr>
      <w:tr w:rsidR="00C8239C" w:rsidRPr="00697392" w:rsidTr="00C8239C">
        <w:trPr>
          <w:trHeight w:val="2268"/>
        </w:trPr>
        <w:tc>
          <w:tcPr>
            <w:tcW w:w="551" w:type="pct"/>
            <w:vAlign w:val="center"/>
          </w:tcPr>
          <w:p w:rsidR="00C8239C" w:rsidRDefault="00C8239C" w:rsidP="00C8239C">
            <w:pPr>
              <w:pStyle w:val="Legenda"/>
              <w:jc w:val="center"/>
              <w:rPr>
                <w:rFonts w:cs="Arial"/>
                <w:color w:val="000000" w:themeColor="text1"/>
                <w:sz w:val="22"/>
                <w:szCs w:val="22"/>
              </w:rPr>
            </w:pPr>
            <w:r>
              <w:rPr>
                <w:rFonts w:cs="Arial"/>
                <w:color w:val="000000" w:themeColor="text1"/>
                <w:sz w:val="22"/>
                <w:szCs w:val="22"/>
              </w:rPr>
              <w:t>Minuta do Contrato de Concessão</w:t>
            </w:r>
          </w:p>
        </w:tc>
        <w:tc>
          <w:tcPr>
            <w:tcW w:w="616" w:type="pct"/>
            <w:vAlign w:val="center"/>
          </w:tcPr>
          <w:p w:rsidR="00C8239C" w:rsidRPr="00A024C7" w:rsidRDefault="00C8239C" w:rsidP="00C8239C">
            <w:pPr>
              <w:pStyle w:val="Legenda"/>
              <w:jc w:val="center"/>
              <w:rPr>
                <w:rFonts w:cs="Arial"/>
                <w:color w:val="000000" w:themeColor="text1"/>
                <w:sz w:val="22"/>
                <w:szCs w:val="22"/>
              </w:rPr>
            </w:pPr>
            <w:r w:rsidRPr="00A024C7">
              <w:rPr>
                <w:rFonts w:cs="Arial"/>
                <w:color w:val="000000" w:themeColor="text1"/>
                <w:sz w:val="22"/>
                <w:szCs w:val="22"/>
              </w:rPr>
              <w:t>Alteração</w:t>
            </w:r>
          </w:p>
        </w:tc>
        <w:tc>
          <w:tcPr>
            <w:tcW w:w="363" w:type="pct"/>
            <w:vAlign w:val="center"/>
          </w:tcPr>
          <w:p w:rsidR="00C8239C" w:rsidRPr="00A024C7" w:rsidRDefault="00C8239C" w:rsidP="00C8239C">
            <w:pPr>
              <w:pStyle w:val="Legenda"/>
              <w:jc w:val="center"/>
              <w:rPr>
                <w:rFonts w:cs="Arial"/>
                <w:color w:val="000000" w:themeColor="text1"/>
                <w:sz w:val="22"/>
                <w:szCs w:val="22"/>
              </w:rPr>
            </w:pPr>
            <w:r w:rsidRPr="00A024C7">
              <w:rPr>
                <w:rFonts w:cs="Arial"/>
                <w:color w:val="000000" w:themeColor="text1"/>
                <w:sz w:val="22"/>
                <w:szCs w:val="22"/>
              </w:rPr>
              <w:t>27.2.3</w:t>
            </w:r>
          </w:p>
        </w:tc>
        <w:tc>
          <w:tcPr>
            <w:tcW w:w="1525" w:type="pct"/>
            <w:vAlign w:val="center"/>
          </w:tcPr>
          <w:p w:rsidR="00C8239C" w:rsidRPr="0026083C" w:rsidRDefault="00C8239C" w:rsidP="00C8239C">
            <w:pPr>
              <w:pStyle w:val="Legenda"/>
              <w:jc w:val="both"/>
              <w:rPr>
                <w:rFonts w:cs="Arial"/>
                <w:color w:val="000000" w:themeColor="text1"/>
                <w:sz w:val="22"/>
                <w:szCs w:val="22"/>
              </w:rPr>
            </w:pPr>
            <w:r w:rsidRPr="003F02B8">
              <w:rPr>
                <w:rFonts w:cs="Arial"/>
                <w:color w:val="000000" w:themeColor="text1"/>
                <w:sz w:val="22"/>
                <w:szCs w:val="22"/>
              </w:rPr>
              <w:t>A ANP terá amplo acesso aos documentos, livros, registros e outros documentos, referidos no parágrafo 27.1, inclusive aos contratos e acordos firmados pelo Concessionário e relacionados com a aquisição de bens e serviços para as Operações, relativos aos últimos</w:t>
            </w:r>
            <w:r>
              <w:rPr>
                <w:rFonts w:cs="Arial"/>
                <w:color w:val="000000" w:themeColor="text1"/>
                <w:sz w:val="22"/>
                <w:szCs w:val="22"/>
              </w:rPr>
              <w:t xml:space="preserve"> cinco anos.</w:t>
            </w:r>
          </w:p>
        </w:tc>
        <w:tc>
          <w:tcPr>
            <w:tcW w:w="1945" w:type="pct"/>
            <w:vAlign w:val="center"/>
          </w:tcPr>
          <w:p w:rsidR="00C8239C" w:rsidRPr="00365A2A" w:rsidRDefault="00C8239C" w:rsidP="00C8239C">
            <w:pPr>
              <w:pStyle w:val="Legenda"/>
              <w:jc w:val="both"/>
              <w:rPr>
                <w:rFonts w:cs="Arial"/>
                <w:color w:val="000000"/>
                <w:sz w:val="22"/>
                <w:szCs w:val="22"/>
                <w:lang w:eastAsia="en-US"/>
              </w:rPr>
            </w:pPr>
            <w:r>
              <w:rPr>
                <w:rFonts w:cs="Arial"/>
                <w:color w:val="000000"/>
                <w:sz w:val="22"/>
                <w:szCs w:val="22"/>
                <w:lang w:eastAsia="en-US"/>
              </w:rPr>
              <w:t>Compatibilizar os prazos à prescrição definida na Legislação Aplicável.</w:t>
            </w:r>
          </w:p>
        </w:tc>
      </w:tr>
      <w:tr w:rsidR="00C8239C" w:rsidRPr="00697392" w:rsidTr="00C8239C">
        <w:trPr>
          <w:trHeight w:val="2268"/>
        </w:trPr>
        <w:tc>
          <w:tcPr>
            <w:tcW w:w="551" w:type="pct"/>
            <w:vAlign w:val="center"/>
          </w:tcPr>
          <w:p w:rsidR="00C8239C" w:rsidRDefault="00C8239C" w:rsidP="00C8239C">
            <w:pPr>
              <w:pStyle w:val="Legenda"/>
              <w:jc w:val="center"/>
              <w:rPr>
                <w:rFonts w:cs="Arial"/>
                <w:color w:val="000000" w:themeColor="text1"/>
                <w:sz w:val="22"/>
                <w:szCs w:val="22"/>
              </w:rPr>
            </w:pPr>
            <w:r>
              <w:rPr>
                <w:rFonts w:cs="Arial"/>
                <w:color w:val="000000" w:themeColor="text1"/>
                <w:sz w:val="22"/>
                <w:szCs w:val="22"/>
              </w:rPr>
              <w:lastRenderedPageBreak/>
              <w:t>Minuta do Contrato de Concessão</w:t>
            </w:r>
          </w:p>
        </w:tc>
        <w:tc>
          <w:tcPr>
            <w:tcW w:w="616" w:type="pct"/>
            <w:vAlign w:val="center"/>
          </w:tcPr>
          <w:p w:rsidR="00C8239C" w:rsidRDefault="00C8239C" w:rsidP="00C8239C">
            <w:pPr>
              <w:pStyle w:val="Legenda"/>
              <w:jc w:val="center"/>
              <w:rPr>
                <w:rFonts w:cs="Arial"/>
                <w:color w:val="000000" w:themeColor="text1"/>
                <w:sz w:val="22"/>
                <w:szCs w:val="22"/>
              </w:rPr>
            </w:pPr>
            <w:r>
              <w:rPr>
                <w:rFonts w:cs="Arial"/>
                <w:color w:val="000000" w:themeColor="text1"/>
                <w:sz w:val="22"/>
                <w:szCs w:val="22"/>
              </w:rPr>
              <w:t>Exclusão</w:t>
            </w:r>
          </w:p>
        </w:tc>
        <w:tc>
          <w:tcPr>
            <w:tcW w:w="363" w:type="pct"/>
            <w:vAlign w:val="center"/>
          </w:tcPr>
          <w:p w:rsidR="00C8239C" w:rsidRDefault="00C8239C" w:rsidP="00C8239C">
            <w:pPr>
              <w:pStyle w:val="Legenda"/>
              <w:jc w:val="center"/>
              <w:rPr>
                <w:rFonts w:cs="Arial"/>
                <w:color w:val="000000" w:themeColor="text1"/>
                <w:sz w:val="22"/>
                <w:szCs w:val="22"/>
              </w:rPr>
            </w:pPr>
            <w:r>
              <w:rPr>
                <w:rFonts w:cs="Arial"/>
                <w:color w:val="000000" w:themeColor="text1"/>
                <w:sz w:val="22"/>
                <w:szCs w:val="22"/>
              </w:rPr>
              <w:t>28.11</w:t>
            </w:r>
          </w:p>
        </w:tc>
        <w:tc>
          <w:tcPr>
            <w:tcW w:w="1525" w:type="pct"/>
            <w:vAlign w:val="center"/>
          </w:tcPr>
          <w:p w:rsidR="00C8239C" w:rsidRPr="0026083C" w:rsidRDefault="00C8239C" w:rsidP="00C8239C">
            <w:pPr>
              <w:pStyle w:val="Legenda"/>
              <w:jc w:val="both"/>
              <w:rPr>
                <w:rFonts w:cs="Arial"/>
                <w:color w:val="000000" w:themeColor="text1"/>
                <w:sz w:val="22"/>
                <w:szCs w:val="22"/>
              </w:rPr>
            </w:pPr>
          </w:p>
        </w:tc>
        <w:tc>
          <w:tcPr>
            <w:tcW w:w="1945" w:type="pct"/>
            <w:vAlign w:val="center"/>
          </w:tcPr>
          <w:p w:rsidR="00C8239C" w:rsidRPr="00A024C7" w:rsidRDefault="00C8239C" w:rsidP="00C8239C">
            <w:pPr>
              <w:jc w:val="both"/>
              <w:rPr>
                <w:rFonts w:ascii="Arial" w:hAnsi="Arial" w:cs="Arial"/>
                <w:sz w:val="22"/>
                <w:szCs w:val="22"/>
              </w:rPr>
            </w:pPr>
            <w:r w:rsidRPr="00A024C7">
              <w:rPr>
                <w:rFonts w:ascii="Arial" w:hAnsi="Arial" w:cs="Arial"/>
                <w:sz w:val="22"/>
                <w:szCs w:val="22"/>
              </w:rPr>
              <w:t>A Cláusula conflita com a Cláusula 30.4, especialmente a alínea a e o item 30.4.2.</w:t>
            </w:r>
          </w:p>
          <w:p w:rsidR="00C8239C" w:rsidRPr="00A024C7" w:rsidRDefault="00C8239C" w:rsidP="00C8239C">
            <w:pPr>
              <w:pStyle w:val="Legenda"/>
              <w:jc w:val="both"/>
              <w:rPr>
                <w:rFonts w:cs="Arial"/>
                <w:color w:val="000000" w:themeColor="text1"/>
                <w:sz w:val="22"/>
                <w:szCs w:val="22"/>
              </w:rPr>
            </w:pPr>
            <w:r w:rsidRPr="00A024C7">
              <w:rPr>
                <w:rFonts w:cs="Arial"/>
                <w:sz w:val="22"/>
                <w:szCs w:val="22"/>
              </w:rPr>
              <w:t>Adicionalmente, a inclusão dessas restrições limita o desenvolvimento do mercado por impedir a realização de cessões.</w:t>
            </w:r>
          </w:p>
        </w:tc>
      </w:tr>
      <w:tr w:rsidR="00C8239C" w:rsidRPr="00697392" w:rsidTr="00C8239C">
        <w:trPr>
          <w:trHeight w:val="2268"/>
        </w:trPr>
        <w:tc>
          <w:tcPr>
            <w:tcW w:w="551" w:type="pct"/>
            <w:vAlign w:val="center"/>
          </w:tcPr>
          <w:p w:rsidR="00C8239C" w:rsidRDefault="00C8239C" w:rsidP="00C8239C">
            <w:pPr>
              <w:pStyle w:val="Legenda"/>
              <w:jc w:val="center"/>
              <w:rPr>
                <w:rFonts w:cs="Arial"/>
                <w:color w:val="000000" w:themeColor="text1"/>
                <w:sz w:val="22"/>
                <w:szCs w:val="22"/>
              </w:rPr>
            </w:pPr>
            <w:r>
              <w:rPr>
                <w:rFonts w:cs="Arial"/>
                <w:color w:val="000000" w:themeColor="text1"/>
                <w:sz w:val="22"/>
                <w:szCs w:val="22"/>
              </w:rPr>
              <w:t>Minuta do Contrato de Concessão</w:t>
            </w:r>
          </w:p>
        </w:tc>
        <w:tc>
          <w:tcPr>
            <w:tcW w:w="616" w:type="pct"/>
            <w:vAlign w:val="center"/>
          </w:tcPr>
          <w:p w:rsidR="00C8239C" w:rsidRDefault="00C8239C" w:rsidP="00C8239C">
            <w:pPr>
              <w:pStyle w:val="Legenda"/>
              <w:jc w:val="center"/>
              <w:rPr>
                <w:rFonts w:cs="Arial"/>
                <w:color w:val="000000" w:themeColor="text1"/>
                <w:sz w:val="22"/>
                <w:szCs w:val="22"/>
              </w:rPr>
            </w:pPr>
            <w:r>
              <w:rPr>
                <w:rFonts w:cs="Arial"/>
                <w:color w:val="000000" w:themeColor="text1"/>
                <w:sz w:val="22"/>
                <w:szCs w:val="22"/>
              </w:rPr>
              <w:t>Exclusão</w:t>
            </w:r>
          </w:p>
        </w:tc>
        <w:tc>
          <w:tcPr>
            <w:tcW w:w="363" w:type="pct"/>
            <w:vAlign w:val="center"/>
          </w:tcPr>
          <w:p w:rsidR="00C8239C" w:rsidRDefault="00C8239C" w:rsidP="00C8239C">
            <w:pPr>
              <w:pStyle w:val="Legenda"/>
              <w:jc w:val="center"/>
              <w:rPr>
                <w:rFonts w:cs="Arial"/>
                <w:color w:val="000000" w:themeColor="text1"/>
                <w:sz w:val="22"/>
                <w:szCs w:val="22"/>
              </w:rPr>
            </w:pPr>
            <w:proofErr w:type="gramStart"/>
            <w:r>
              <w:rPr>
                <w:rFonts w:cs="Arial"/>
                <w:color w:val="000000" w:themeColor="text1"/>
                <w:sz w:val="22"/>
                <w:szCs w:val="22"/>
              </w:rPr>
              <w:t>30.1</w:t>
            </w:r>
            <w:r>
              <w:rPr>
                <w:rFonts w:cs="Arial"/>
                <w:color w:val="000000" w:themeColor="text1"/>
                <w:sz w:val="22"/>
                <w:szCs w:val="22"/>
              </w:rPr>
              <w:br/>
              <w:t>alínea</w:t>
            </w:r>
            <w:proofErr w:type="gramEnd"/>
            <w:r>
              <w:rPr>
                <w:rFonts w:cs="Arial"/>
                <w:color w:val="000000" w:themeColor="text1"/>
                <w:sz w:val="22"/>
                <w:szCs w:val="22"/>
              </w:rPr>
              <w:t xml:space="preserve"> f</w:t>
            </w:r>
          </w:p>
        </w:tc>
        <w:tc>
          <w:tcPr>
            <w:tcW w:w="1525" w:type="pct"/>
            <w:vAlign w:val="center"/>
          </w:tcPr>
          <w:p w:rsidR="00C8239C" w:rsidRPr="0026083C" w:rsidRDefault="00C8239C" w:rsidP="00C8239C">
            <w:pPr>
              <w:pStyle w:val="Legenda"/>
              <w:jc w:val="both"/>
              <w:rPr>
                <w:rFonts w:cs="Arial"/>
                <w:color w:val="000000" w:themeColor="text1"/>
                <w:sz w:val="22"/>
                <w:szCs w:val="22"/>
              </w:rPr>
            </w:pPr>
          </w:p>
        </w:tc>
        <w:tc>
          <w:tcPr>
            <w:tcW w:w="1945" w:type="pct"/>
            <w:vAlign w:val="center"/>
          </w:tcPr>
          <w:p w:rsidR="00C8239C" w:rsidRPr="00365A2A" w:rsidRDefault="00C8239C" w:rsidP="00C8239C">
            <w:pPr>
              <w:pStyle w:val="Legenda"/>
              <w:jc w:val="both"/>
              <w:rPr>
                <w:rFonts w:cs="Arial"/>
                <w:color w:val="000000"/>
                <w:sz w:val="22"/>
                <w:szCs w:val="22"/>
                <w:lang w:eastAsia="en-US"/>
              </w:rPr>
            </w:pPr>
            <w:r w:rsidRPr="00A024C7">
              <w:rPr>
                <w:rFonts w:cs="Arial"/>
                <w:color w:val="000000" w:themeColor="text1"/>
                <w:sz w:val="22"/>
                <w:szCs w:val="22"/>
              </w:rPr>
              <w:t>A extinção do Contrato pela reprovação do PD gera grande insegurança jurídica, uma vez que a aprovação ou reprovação do PD é discricionariedade da ANP, mesmo que motivada por questões técnicas. Desse modo, a ANP fica com o controle total da vigência do Contrato.</w:t>
            </w:r>
          </w:p>
        </w:tc>
      </w:tr>
      <w:tr w:rsidR="00C8239C" w:rsidRPr="00697392" w:rsidTr="00C8239C">
        <w:trPr>
          <w:trHeight w:val="2268"/>
        </w:trPr>
        <w:tc>
          <w:tcPr>
            <w:tcW w:w="551" w:type="pct"/>
            <w:vAlign w:val="center"/>
          </w:tcPr>
          <w:p w:rsidR="00C8239C" w:rsidRDefault="00C8239C" w:rsidP="00C8239C">
            <w:pPr>
              <w:pStyle w:val="Legenda"/>
              <w:jc w:val="center"/>
              <w:rPr>
                <w:rFonts w:cs="Arial"/>
                <w:color w:val="000000" w:themeColor="text1"/>
                <w:sz w:val="22"/>
                <w:szCs w:val="22"/>
              </w:rPr>
            </w:pPr>
            <w:r>
              <w:rPr>
                <w:rFonts w:cs="Arial"/>
                <w:color w:val="000000" w:themeColor="text1"/>
                <w:sz w:val="22"/>
                <w:szCs w:val="22"/>
              </w:rPr>
              <w:t>Minuta do Contrato de Concessão</w:t>
            </w:r>
          </w:p>
        </w:tc>
        <w:tc>
          <w:tcPr>
            <w:tcW w:w="616" w:type="pct"/>
            <w:vAlign w:val="center"/>
          </w:tcPr>
          <w:p w:rsidR="00C8239C" w:rsidRDefault="00C8239C" w:rsidP="00C8239C">
            <w:pPr>
              <w:pStyle w:val="Legenda"/>
              <w:jc w:val="center"/>
              <w:rPr>
                <w:rFonts w:cs="Arial"/>
                <w:color w:val="000000" w:themeColor="text1"/>
                <w:sz w:val="22"/>
                <w:szCs w:val="22"/>
              </w:rPr>
            </w:pPr>
            <w:r>
              <w:rPr>
                <w:rFonts w:cs="Arial"/>
                <w:color w:val="000000" w:themeColor="text1"/>
                <w:sz w:val="22"/>
                <w:szCs w:val="22"/>
              </w:rPr>
              <w:t>Alteração</w:t>
            </w:r>
          </w:p>
        </w:tc>
        <w:tc>
          <w:tcPr>
            <w:tcW w:w="363" w:type="pct"/>
            <w:vAlign w:val="center"/>
          </w:tcPr>
          <w:p w:rsidR="00C8239C" w:rsidRDefault="00C8239C" w:rsidP="00C8239C">
            <w:pPr>
              <w:pStyle w:val="Legenda"/>
              <w:jc w:val="center"/>
              <w:rPr>
                <w:rFonts w:cs="Arial"/>
                <w:color w:val="000000" w:themeColor="text1"/>
                <w:sz w:val="22"/>
                <w:szCs w:val="22"/>
              </w:rPr>
            </w:pPr>
            <w:proofErr w:type="gramStart"/>
            <w:r>
              <w:rPr>
                <w:rFonts w:cs="Arial"/>
                <w:color w:val="000000" w:themeColor="text1"/>
                <w:sz w:val="22"/>
                <w:szCs w:val="22"/>
              </w:rPr>
              <w:t>30.1</w:t>
            </w:r>
            <w:r>
              <w:rPr>
                <w:rFonts w:cs="Arial"/>
                <w:color w:val="000000" w:themeColor="text1"/>
                <w:sz w:val="22"/>
                <w:szCs w:val="22"/>
              </w:rPr>
              <w:br/>
              <w:t>alínea</w:t>
            </w:r>
            <w:proofErr w:type="gramEnd"/>
            <w:r>
              <w:rPr>
                <w:rFonts w:cs="Arial"/>
                <w:color w:val="000000" w:themeColor="text1"/>
                <w:sz w:val="22"/>
                <w:szCs w:val="22"/>
              </w:rPr>
              <w:t xml:space="preserve"> g</w:t>
            </w:r>
          </w:p>
        </w:tc>
        <w:tc>
          <w:tcPr>
            <w:tcW w:w="1525" w:type="pct"/>
            <w:vAlign w:val="center"/>
          </w:tcPr>
          <w:p w:rsidR="00C8239C" w:rsidRPr="0026083C" w:rsidRDefault="00C8239C" w:rsidP="00C8239C">
            <w:pPr>
              <w:pStyle w:val="Legenda"/>
              <w:jc w:val="both"/>
              <w:rPr>
                <w:rFonts w:cs="Arial"/>
                <w:color w:val="000000" w:themeColor="text1"/>
                <w:sz w:val="22"/>
                <w:szCs w:val="22"/>
              </w:rPr>
            </w:pPr>
            <w:r>
              <w:rPr>
                <w:rFonts w:cs="Arial"/>
                <w:color w:val="000000" w:themeColor="text1"/>
                <w:sz w:val="22"/>
                <w:szCs w:val="22"/>
              </w:rPr>
              <w:t xml:space="preserve">g) </w:t>
            </w:r>
            <w:r w:rsidRPr="00E62142">
              <w:rPr>
                <w:rFonts w:cs="Arial"/>
                <w:color w:val="000000" w:themeColor="text1"/>
                <w:sz w:val="22"/>
                <w:szCs w:val="22"/>
              </w:rPr>
              <w:t>total ou parcialmente, pela recusa dos Con</w:t>
            </w:r>
            <w:r>
              <w:rPr>
                <w:rFonts w:cs="Arial"/>
                <w:color w:val="000000" w:themeColor="text1"/>
                <w:sz w:val="22"/>
                <w:szCs w:val="22"/>
              </w:rPr>
              <w:t>cessionári</w:t>
            </w:r>
            <w:r w:rsidRPr="00E62142">
              <w:rPr>
                <w:rFonts w:cs="Arial"/>
                <w:color w:val="000000" w:themeColor="text1"/>
                <w:sz w:val="22"/>
                <w:szCs w:val="22"/>
              </w:rPr>
              <w:t>os em firmar o acordo de individualização da produção, após decisão da ANP; ou</w:t>
            </w:r>
          </w:p>
        </w:tc>
        <w:tc>
          <w:tcPr>
            <w:tcW w:w="1945" w:type="pct"/>
            <w:vAlign w:val="center"/>
          </w:tcPr>
          <w:p w:rsidR="00C8239C" w:rsidRPr="00365A2A" w:rsidRDefault="00C8239C" w:rsidP="00C8239C">
            <w:pPr>
              <w:pStyle w:val="Legenda"/>
              <w:jc w:val="both"/>
              <w:rPr>
                <w:rFonts w:cs="Arial"/>
                <w:color w:val="000000"/>
                <w:sz w:val="22"/>
                <w:szCs w:val="22"/>
                <w:lang w:eastAsia="en-US"/>
              </w:rPr>
            </w:pPr>
            <w:r>
              <w:rPr>
                <w:rFonts w:cs="Arial"/>
                <w:color w:val="000000"/>
                <w:sz w:val="22"/>
                <w:szCs w:val="22"/>
                <w:lang w:eastAsia="en-US"/>
              </w:rPr>
              <w:t>Adequação da redação às definições contidas neste Contrato.</w:t>
            </w:r>
          </w:p>
        </w:tc>
      </w:tr>
      <w:tr w:rsidR="00C8239C" w:rsidRPr="00697392" w:rsidTr="00C8239C">
        <w:trPr>
          <w:trHeight w:val="2268"/>
        </w:trPr>
        <w:tc>
          <w:tcPr>
            <w:tcW w:w="551" w:type="pct"/>
            <w:vAlign w:val="center"/>
          </w:tcPr>
          <w:p w:rsidR="00C8239C" w:rsidRDefault="00C8239C" w:rsidP="00C8239C">
            <w:pPr>
              <w:pStyle w:val="Legenda"/>
              <w:jc w:val="center"/>
              <w:rPr>
                <w:rFonts w:cs="Arial"/>
                <w:color w:val="000000" w:themeColor="text1"/>
                <w:sz w:val="22"/>
                <w:szCs w:val="22"/>
              </w:rPr>
            </w:pPr>
            <w:r>
              <w:rPr>
                <w:rFonts w:cs="Arial"/>
                <w:color w:val="000000" w:themeColor="text1"/>
                <w:sz w:val="22"/>
                <w:szCs w:val="22"/>
              </w:rPr>
              <w:lastRenderedPageBreak/>
              <w:t>Minuta do Contrato de Concessão</w:t>
            </w:r>
          </w:p>
        </w:tc>
        <w:tc>
          <w:tcPr>
            <w:tcW w:w="616" w:type="pct"/>
            <w:vAlign w:val="center"/>
          </w:tcPr>
          <w:p w:rsidR="00C8239C" w:rsidRPr="00A024C7" w:rsidRDefault="00C8239C" w:rsidP="00C8239C">
            <w:pPr>
              <w:pStyle w:val="Legenda"/>
              <w:jc w:val="center"/>
              <w:rPr>
                <w:rFonts w:cs="Arial"/>
                <w:color w:val="000000" w:themeColor="text1"/>
                <w:sz w:val="22"/>
                <w:szCs w:val="22"/>
              </w:rPr>
            </w:pPr>
            <w:r>
              <w:rPr>
                <w:rFonts w:cs="Arial"/>
                <w:color w:val="000000" w:themeColor="text1"/>
                <w:sz w:val="22"/>
                <w:szCs w:val="22"/>
              </w:rPr>
              <w:t>Esclarecimento</w:t>
            </w:r>
          </w:p>
        </w:tc>
        <w:tc>
          <w:tcPr>
            <w:tcW w:w="363" w:type="pct"/>
            <w:vAlign w:val="center"/>
          </w:tcPr>
          <w:p w:rsidR="00C8239C" w:rsidRPr="00A024C7" w:rsidRDefault="00C8239C" w:rsidP="00C8239C">
            <w:pPr>
              <w:pStyle w:val="Legenda"/>
              <w:jc w:val="center"/>
              <w:rPr>
                <w:rFonts w:cs="Arial"/>
                <w:color w:val="000000" w:themeColor="text1"/>
                <w:sz w:val="22"/>
                <w:szCs w:val="22"/>
              </w:rPr>
            </w:pPr>
            <w:r>
              <w:rPr>
                <w:rFonts w:cs="Arial"/>
                <w:color w:val="000000" w:themeColor="text1"/>
                <w:sz w:val="22"/>
                <w:szCs w:val="22"/>
              </w:rPr>
              <w:t>30.4.2.1</w:t>
            </w:r>
          </w:p>
        </w:tc>
        <w:tc>
          <w:tcPr>
            <w:tcW w:w="1525" w:type="pct"/>
            <w:vAlign w:val="center"/>
          </w:tcPr>
          <w:p w:rsidR="00C8239C" w:rsidRPr="00A024C7" w:rsidRDefault="00C8239C" w:rsidP="00C8239C">
            <w:pPr>
              <w:pStyle w:val="Contrato-Clausula-Nvel3-1dezena"/>
              <w:numPr>
                <w:ilvl w:val="0"/>
                <w:numId w:val="0"/>
              </w:numPr>
              <w:ind w:left="26"/>
              <w:rPr>
                <w:rFonts w:cs="Arial"/>
                <w:szCs w:val="22"/>
              </w:rPr>
            </w:pPr>
          </w:p>
        </w:tc>
        <w:tc>
          <w:tcPr>
            <w:tcW w:w="1945" w:type="pct"/>
            <w:vAlign w:val="center"/>
          </w:tcPr>
          <w:p w:rsidR="00C8239C" w:rsidRPr="00A024C7" w:rsidRDefault="00C8239C" w:rsidP="00C8239C">
            <w:pPr>
              <w:jc w:val="both"/>
              <w:rPr>
                <w:rFonts w:ascii="Arial" w:hAnsi="Arial" w:cs="Arial"/>
                <w:sz w:val="22"/>
                <w:szCs w:val="22"/>
              </w:rPr>
            </w:pPr>
            <w:r w:rsidRPr="00723EB2">
              <w:rPr>
                <w:rFonts w:ascii="Arial" w:hAnsi="Arial" w:cs="Arial"/>
                <w:sz w:val="22"/>
                <w:szCs w:val="22"/>
              </w:rPr>
              <w:t>Melhor definição de como ficarão as Participações Indivisas quando resolvido o Contrato apenas com relação ao consorciado inadimplente.</w:t>
            </w:r>
          </w:p>
        </w:tc>
      </w:tr>
      <w:tr w:rsidR="00C8239C" w:rsidRPr="00697392" w:rsidTr="00C8239C">
        <w:trPr>
          <w:trHeight w:val="2268"/>
        </w:trPr>
        <w:tc>
          <w:tcPr>
            <w:tcW w:w="551" w:type="pct"/>
            <w:vAlign w:val="center"/>
          </w:tcPr>
          <w:p w:rsidR="00C8239C" w:rsidRDefault="00C8239C" w:rsidP="00C8239C">
            <w:pPr>
              <w:pStyle w:val="Legenda"/>
              <w:jc w:val="center"/>
              <w:rPr>
                <w:rFonts w:cs="Arial"/>
                <w:color w:val="000000" w:themeColor="text1"/>
                <w:sz w:val="22"/>
                <w:szCs w:val="22"/>
              </w:rPr>
            </w:pPr>
            <w:r>
              <w:rPr>
                <w:rFonts w:cs="Arial"/>
                <w:color w:val="000000" w:themeColor="text1"/>
                <w:sz w:val="22"/>
                <w:szCs w:val="22"/>
              </w:rPr>
              <w:t>Minuta do Contrato de Concessão</w:t>
            </w:r>
          </w:p>
        </w:tc>
        <w:tc>
          <w:tcPr>
            <w:tcW w:w="616" w:type="pct"/>
            <w:vAlign w:val="center"/>
          </w:tcPr>
          <w:p w:rsidR="00C8239C" w:rsidRPr="00A024C7" w:rsidRDefault="00C8239C" w:rsidP="00C8239C">
            <w:pPr>
              <w:pStyle w:val="Legenda"/>
              <w:jc w:val="center"/>
              <w:rPr>
                <w:rFonts w:cs="Arial"/>
                <w:color w:val="000000" w:themeColor="text1"/>
                <w:sz w:val="22"/>
                <w:szCs w:val="22"/>
              </w:rPr>
            </w:pPr>
            <w:r w:rsidRPr="00A024C7">
              <w:rPr>
                <w:rFonts w:cs="Arial"/>
                <w:color w:val="000000" w:themeColor="text1"/>
                <w:sz w:val="22"/>
                <w:szCs w:val="22"/>
              </w:rPr>
              <w:t>Inclusão</w:t>
            </w:r>
          </w:p>
        </w:tc>
        <w:tc>
          <w:tcPr>
            <w:tcW w:w="363" w:type="pct"/>
            <w:vAlign w:val="center"/>
          </w:tcPr>
          <w:p w:rsidR="00C8239C" w:rsidRPr="00A024C7" w:rsidRDefault="00C8239C" w:rsidP="00C8239C">
            <w:pPr>
              <w:pStyle w:val="Legenda"/>
              <w:jc w:val="center"/>
              <w:rPr>
                <w:rFonts w:cs="Arial"/>
                <w:color w:val="000000" w:themeColor="text1"/>
                <w:sz w:val="22"/>
                <w:szCs w:val="22"/>
              </w:rPr>
            </w:pPr>
            <w:r w:rsidRPr="00A024C7">
              <w:rPr>
                <w:rFonts w:cs="Arial"/>
                <w:color w:val="000000" w:themeColor="text1"/>
                <w:sz w:val="22"/>
                <w:szCs w:val="22"/>
              </w:rPr>
              <w:t>30.4.4</w:t>
            </w:r>
          </w:p>
        </w:tc>
        <w:tc>
          <w:tcPr>
            <w:tcW w:w="1525" w:type="pct"/>
            <w:vAlign w:val="center"/>
          </w:tcPr>
          <w:p w:rsidR="00C8239C" w:rsidRPr="00A024C7" w:rsidRDefault="00C8239C" w:rsidP="00C8239C">
            <w:pPr>
              <w:pStyle w:val="Contrato-Clausula-Nvel3-1dezena"/>
              <w:numPr>
                <w:ilvl w:val="0"/>
                <w:numId w:val="0"/>
              </w:numPr>
              <w:ind w:left="26"/>
              <w:rPr>
                <w:rFonts w:cs="Arial"/>
                <w:szCs w:val="22"/>
              </w:rPr>
            </w:pPr>
            <w:r w:rsidRPr="00A024C7">
              <w:rPr>
                <w:rFonts w:cs="Arial"/>
                <w:szCs w:val="22"/>
              </w:rPr>
              <w:t>Esta Cláusula 30.4 não se aplica para os casos de inadimplemento em que há indenização em forma de multa ou execução de garantia.</w:t>
            </w:r>
          </w:p>
        </w:tc>
        <w:tc>
          <w:tcPr>
            <w:tcW w:w="1945" w:type="pct"/>
            <w:vAlign w:val="center"/>
          </w:tcPr>
          <w:p w:rsidR="00C8239C" w:rsidRPr="00A024C7" w:rsidRDefault="00C8239C" w:rsidP="00C8239C">
            <w:pPr>
              <w:jc w:val="both"/>
              <w:rPr>
                <w:rFonts w:ascii="Arial" w:hAnsi="Arial" w:cs="Arial"/>
                <w:sz w:val="22"/>
                <w:szCs w:val="22"/>
              </w:rPr>
            </w:pPr>
            <w:r w:rsidRPr="00A024C7">
              <w:rPr>
                <w:rFonts w:ascii="Arial" w:hAnsi="Arial" w:cs="Arial"/>
                <w:sz w:val="22"/>
                <w:szCs w:val="22"/>
              </w:rPr>
              <w:t>A compensação pecuniária já garante a satisfação do interesse público.</w:t>
            </w:r>
          </w:p>
        </w:tc>
      </w:tr>
      <w:tr w:rsidR="00C8239C" w:rsidRPr="00697392" w:rsidTr="00C8239C">
        <w:trPr>
          <w:trHeight w:val="2268"/>
        </w:trPr>
        <w:tc>
          <w:tcPr>
            <w:tcW w:w="551" w:type="pct"/>
            <w:vAlign w:val="center"/>
          </w:tcPr>
          <w:p w:rsidR="00C8239C" w:rsidRDefault="00C8239C" w:rsidP="00C8239C">
            <w:pPr>
              <w:pStyle w:val="Legenda"/>
              <w:jc w:val="center"/>
              <w:rPr>
                <w:rFonts w:cs="Arial"/>
                <w:color w:val="000000" w:themeColor="text1"/>
                <w:sz w:val="22"/>
                <w:szCs w:val="22"/>
              </w:rPr>
            </w:pPr>
            <w:r>
              <w:rPr>
                <w:rFonts w:cs="Arial"/>
                <w:color w:val="000000" w:themeColor="text1"/>
                <w:sz w:val="22"/>
                <w:szCs w:val="22"/>
              </w:rPr>
              <w:t>Minuta do Contrato de Concessão</w:t>
            </w:r>
          </w:p>
        </w:tc>
        <w:tc>
          <w:tcPr>
            <w:tcW w:w="616" w:type="pct"/>
            <w:vAlign w:val="center"/>
          </w:tcPr>
          <w:p w:rsidR="00C8239C" w:rsidRPr="00A024C7" w:rsidRDefault="00C8239C" w:rsidP="00C8239C">
            <w:pPr>
              <w:pStyle w:val="Legenda"/>
              <w:jc w:val="center"/>
              <w:rPr>
                <w:rFonts w:cs="Arial"/>
                <w:color w:val="000000" w:themeColor="text1"/>
                <w:sz w:val="22"/>
                <w:szCs w:val="22"/>
              </w:rPr>
            </w:pPr>
            <w:r w:rsidRPr="00A024C7">
              <w:rPr>
                <w:rFonts w:cs="Arial"/>
                <w:color w:val="000000" w:themeColor="text1"/>
                <w:sz w:val="22"/>
                <w:szCs w:val="22"/>
              </w:rPr>
              <w:t>Alteração</w:t>
            </w:r>
          </w:p>
        </w:tc>
        <w:tc>
          <w:tcPr>
            <w:tcW w:w="363" w:type="pct"/>
            <w:vAlign w:val="center"/>
          </w:tcPr>
          <w:p w:rsidR="00C8239C" w:rsidRPr="00A024C7" w:rsidRDefault="00C8239C" w:rsidP="00C8239C">
            <w:pPr>
              <w:pStyle w:val="Legenda"/>
              <w:jc w:val="center"/>
              <w:rPr>
                <w:rFonts w:cs="Arial"/>
                <w:color w:val="000000" w:themeColor="text1"/>
                <w:sz w:val="22"/>
                <w:szCs w:val="22"/>
              </w:rPr>
            </w:pPr>
            <w:r w:rsidRPr="00A024C7">
              <w:rPr>
                <w:rFonts w:cs="Arial"/>
                <w:color w:val="000000" w:themeColor="text1"/>
                <w:sz w:val="22"/>
                <w:szCs w:val="22"/>
              </w:rPr>
              <w:t>34.1.2</w:t>
            </w:r>
          </w:p>
        </w:tc>
        <w:tc>
          <w:tcPr>
            <w:tcW w:w="1525" w:type="pct"/>
            <w:vAlign w:val="center"/>
          </w:tcPr>
          <w:p w:rsidR="00C8239C" w:rsidRPr="00A024C7" w:rsidRDefault="00C8239C" w:rsidP="00C8239C">
            <w:pPr>
              <w:pStyle w:val="Contrato-Clausula-Nvel3-1dezena"/>
              <w:numPr>
                <w:ilvl w:val="0"/>
                <w:numId w:val="0"/>
              </w:numPr>
              <w:ind w:left="26"/>
              <w:rPr>
                <w:rFonts w:cs="Arial"/>
                <w:szCs w:val="22"/>
              </w:rPr>
            </w:pPr>
            <w:r w:rsidRPr="008B1682">
              <w:rPr>
                <w:rFonts w:cs="Arial"/>
                <w:szCs w:val="22"/>
              </w:rPr>
              <w:t>A ANP poderá emitir orientações gerais sem caráter normativo sobre o cumprimento do contrato através de seu sítio na Internet, sem prejuízo de notificação ao Concessionário nos termos da Cláusula Trigésima Terceira.</w:t>
            </w:r>
          </w:p>
        </w:tc>
        <w:tc>
          <w:tcPr>
            <w:tcW w:w="1945" w:type="pct"/>
            <w:vAlign w:val="center"/>
          </w:tcPr>
          <w:p w:rsidR="00C8239C" w:rsidRPr="00A024C7" w:rsidRDefault="00C8239C" w:rsidP="00C8239C">
            <w:pPr>
              <w:jc w:val="both"/>
              <w:rPr>
                <w:rFonts w:ascii="Arial" w:hAnsi="Arial" w:cs="Arial"/>
                <w:sz w:val="22"/>
                <w:szCs w:val="22"/>
              </w:rPr>
            </w:pPr>
            <w:r w:rsidRPr="008B1682">
              <w:rPr>
                <w:rFonts w:ascii="Arial" w:hAnsi="Arial" w:cs="Arial"/>
                <w:sz w:val="22"/>
                <w:szCs w:val="22"/>
              </w:rPr>
              <w:t>Evitar assimetria de informação entre o órgão regulador e os Concessionários.</w:t>
            </w:r>
          </w:p>
        </w:tc>
      </w:tr>
      <w:tr w:rsidR="00C8239C" w:rsidRPr="00697392" w:rsidTr="00C8239C">
        <w:trPr>
          <w:trHeight w:val="2268"/>
        </w:trPr>
        <w:tc>
          <w:tcPr>
            <w:tcW w:w="551" w:type="pct"/>
            <w:vAlign w:val="center"/>
          </w:tcPr>
          <w:p w:rsidR="00C8239C" w:rsidRDefault="00C8239C" w:rsidP="00C8239C">
            <w:pPr>
              <w:pStyle w:val="Legenda"/>
              <w:jc w:val="center"/>
              <w:rPr>
                <w:rFonts w:cs="Arial"/>
                <w:color w:val="000000" w:themeColor="text1"/>
                <w:sz w:val="22"/>
                <w:szCs w:val="22"/>
              </w:rPr>
            </w:pPr>
            <w:r>
              <w:rPr>
                <w:rFonts w:cs="Arial"/>
                <w:color w:val="000000" w:themeColor="text1"/>
                <w:sz w:val="22"/>
                <w:szCs w:val="22"/>
              </w:rPr>
              <w:lastRenderedPageBreak/>
              <w:t>Minuta do Contrato de Concessão</w:t>
            </w:r>
          </w:p>
        </w:tc>
        <w:tc>
          <w:tcPr>
            <w:tcW w:w="616" w:type="pct"/>
            <w:vAlign w:val="center"/>
          </w:tcPr>
          <w:p w:rsidR="00C8239C" w:rsidRPr="00A024C7" w:rsidRDefault="00C8239C" w:rsidP="00C8239C">
            <w:pPr>
              <w:pStyle w:val="Legenda"/>
              <w:jc w:val="center"/>
              <w:rPr>
                <w:rFonts w:cs="Arial"/>
                <w:color w:val="000000" w:themeColor="text1"/>
                <w:sz w:val="22"/>
                <w:szCs w:val="22"/>
              </w:rPr>
            </w:pPr>
            <w:r>
              <w:rPr>
                <w:rFonts w:cs="Arial"/>
                <w:color w:val="000000" w:themeColor="text1"/>
                <w:sz w:val="22"/>
                <w:szCs w:val="22"/>
              </w:rPr>
              <w:t>Alteração</w:t>
            </w:r>
          </w:p>
        </w:tc>
        <w:tc>
          <w:tcPr>
            <w:tcW w:w="363" w:type="pct"/>
            <w:vAlign w:val="center"/>
          </w:tcPr>
          <w:p w:rsidR="00C8239C" w:rsidRPr="00A024C7" w:rsidRDefault="00C8239C" w:rsidP="00C8239C">
            <w:pPr>
              <w:pStyle w:val="Legenda"/>
              <w:jc w:val="center"/>
              <w:rPr>
                <w:rFonts w:cs="Arial"/>
                <w:color w:val="000000" w:themeColor="text1"/>
                <w:sz w:val="22"/>
                <w:szCs w:val="22"/>
              </w:rPr>
            </w:pPr>
            <w:r>
              <w:rPr>
                <w:rFonts w:cs="Arial"/>
                <w:color w:val="000000" w:themeColor="text1"/>
                <w:sz w:val="22"/>
                <w:szCs w:val="22"/>
              </w:rPr>
              <w:t>34.5</w:t>
            </w:r>
          </w:p>
        </w:tc>
        <w:tc>
          <w:tcPr>
            <w:tcW w:w="1525" w:type="pct"/>
            <w:vAlign w:val="center"/>
          </w:tcPr>
          <w:p w:rsidR="00C8239C" w:rsidRPr="00A024C7" w:rsidRDefault="00C8239C" w:rsidP="00C8239C">
            <w:pPr>
              <w:pStyle w:val="Contrato-Clausula-Nvel3-1dezena"/>
              <w:numPr>
                <w:ilvl w:val="0"/>
                <w:numId w:val="0"/>
              </w:numPr>
              <w:ind w:left="26"/>
              <w:rPr>
                <w:rFonts w:cs="Arial"/>
                <w:szCs w:val="22"/>
              </w:rPr>
            </w:pPr>
            <w:r w:rsidRPr="008B1682">
              <w:rPr>
                <w:rFonts w:cs="Arial"/>
                <w:szCs w:val="22"/>
              </w:rPr>
              <w:t>Após o procedimento previsto no parágrafo 34.2, caso uma das Partes considere que inexistem condições para uma solução amigável de disputa ou controvérsia a que se refere tal parágrafo, poderá submeter tal questão a arbitragem</w:t>
            </w:r>
            <w:r>
              <w:rPr>
                <w:rFonts w:cs="Arial"/>
                <w:szCs w:val="22"/>
              </w:rPr>
              <w:t xml:space="preserve"> institucional, </w:t>
            </w:r>
            <w:r w:rsidRPr="008B1682">
              <w:rPr>
                <w:rFonts w:cs="Arial"/>
                <w:szCs w:val="22"/>
              </w:rPr>
              <w:t>utilizando como parâmetro as regras estabelecidas no Regulamento de Arbitragem (</w:t>
            </w:r>
            <w:proofErr w:type="spellStart"/>
            <w:r w:rsidRPr="008B1682">
              <w:rPr>
                <w:rFonts w:cs="Arial"/>
                <w:szCs w:val="22"/>
              </w:rPr>
              <w:t>Arbitration</w:t>
            </w:r>
            <w:proofErr w:type="spellEnd"/>
            <w:r w:rsidRPr="008B1682">
              <w:rPr>
                <w:rFonts w:cs="Arial"/>
                <w:szCs w:val="22"/>
              </w:rPr>
              <w:t xml:space="preserve"> </w:t>
            </w:r>
            <w:proofErr w:type="spellStart"/>
            <w:r w:rsidRPr="008B1682">
              <w:rPr>
                <w:rFonts w:cs="Arial"/>
                <w:szCs w:val="22"/>
              </w:rPr>
              <w:t>Rules</w:t>
            </w:r>
            <w:proofErr w:type="spellEnd"/>
            <w:r w:rsidRPr="008B1682">
              <w:rPr>
                <w:rFonts w:cs="Arial"/>
                <w:szCs w:val="22"/>
              </w:rPr>
              <w:t>) da</w:t>
            </w:r>
            <w:r>
              <w:rPr>
                <w:rFonts w:cs="Arial"/>
                <w:szCs w:val="22"/>
              </w:rPr>
              <w:t xml:space="preserve"> CCI (Câmara de Comércio Internacional) e em consonância com os seguintes preceitos:</w:t>
            </w:r>
          </w:p>
        </w:tc>
        <w:tc>
          <w:tcPr>
            <w:tcW w:w="1945" w:type="pct"/>
            <w:vAlign w:val="center"/>
          </w:tcPr>
          <w:p w:rsidR="00C8239C" w:rsidRPr="00A024C7" w:rsidRDefault="00C8239C" w:rsidP="00C8239C">
            <w:pPr>
              <w:jc w:val="both"/>
              <w:rPr>
                <w:rFonts w:ascii="Arial" w:hAnsi="Arial" w:cs="Arial"/>
                <w:sz w:val="22"/>
                <w:szCs w:val="22"/>
              </w:rPr>
            </w:pPr>
            <w:r w:rsidRPr="008B1682">
              <w:rPr>
                <w:rFonts w:ascii="Arial" w:hAnsi="Arial" w:cs="Arial"/>
                <w:sz w:val="22"/>
                <w:szCs w:val="22"/>
              </w:rPr>
              <w:t>A arbitragem foi praticamente excluída como método de solução de controvérsias, pois as regras da UNCITRAL permitem que a arbitragem não prossiga em caso de ausência de colaboração de qualquer das Partes. Por exemplo, caso uma das Partes não indique o seu respectivo árbitro, a arbitragem não prossegue.</w:t>
            </w:r>
          </w:p>
        </w:tc>
      </w:tr>
      <w:tr w:rsidR="00C8239C" w:rsidRPr="00697392" w:rsidTr="00C8239C">
        <w:trPr>
          <w:trHeight w:val="2268"/>
        </w:trPr>
        <w:tc>
          <w:tcPr>
            <w:tcW w:w="551" w:type="pct"/>
            <w:vAlign w:val="center"/>
          </w:tcPr>
          <w:p w:rsidR="00C8239C" w:rsidRDefault="00C8239C" w:rsidP="00C8239C">
            <w:pPr>
              <w:pStyle w:val="Legenda"/>
              <w:jc w:val="center"/>
              <w:rPr>
                <w:rFonts w:cs="Arial"/>
                <w:color w:val="000000" w:themeColor="text1"/>
                <w:sz w:val="22"/>
                <w:szCs w:val="22"/>
              </w:rPr>
            </w:pPr>
            <w:r>
              <w:rPr>
                <w:rFonts w:cs="Arial"/>
                <w:color w:val="000000" w:themeColor="text1"/>
                <w:sz w:val="22"/>
                <w:szCs w:val="22"/>
              </w:rPr>
              <w:t>Minuta do Contrato de Concessão</w:t>
            </w:r>
          </w:p>
        </w:tc>
        <w:tc>
          <w:tcPr>
            <w:tcW w:w="616" w:type="pct"/>
            <w:vAlign w:val="center"/>
          </w:tcPr>
          <w:p w:rsidR="00C8239C" w:rsidRPr="00A024C7" w:rsidRDefault="00C8239C" w:rsidP="00C8239C">
            <w:pPr>
              <w:pStyle w:val="Legenda"/>
              <w:jc w:val="center"/>
              <w:rPr>
                <w:rFonts w:cs="Arial"/>
                <w:color w:val="000000" w:themeColor="text1"/>
                <w:sz w:val="22"/>
                <w:szCs w:val="22"/>
              </w:rPr>
            </w:pPr>
            <w:r>
              <w:rPr>
                <w:rFonts w:cs="Arial"/>
                <w:color w:val="000000" w:themeColor="text1"/>
                <w:sz w:val="22"/>
                <w:szCs w:val="22"/>
              </w:rPr>
              <w:t>Exclusão</w:t>
            </w:r>
          </w:p>
        </w:tc>
        <w:tc>
          <w:tcPr>
            <w:tcW w:w="363" w:type="pct"/>
            <w:vAlign w:val="center"/>
          </w:tcPr>
          <w:p w:rsidR="00C8239C" w:rsidRPr="00A024C7" w:rsidRDefault="00C8239C" w:rsidP="00C8239C">
            <w:pPr>
              <w:pStyle w:val="Legenda"/>
              <w:jc w:val="center"/>
              <w:rPr>
                <w:rFonts w:cs="Arial"/>
                <w:color w:val="000000" w:themeColor="text1"/>
                <w:sz w:val="22"/>
                <w:szCs w:val="22"/>
              </w:rPr>
            </w:pPr>
            <w:proofErr w:type="gramStart"/>
            <w:r>
              <w:rPr>
                <w:rFonts w:cs="Arial"/>
                <w:color w:val="000000" w:themeColor="text1"/>
                <w:sz w:val="22"/>
                <w:szCs w:val="22"/>
              </w:rPr>
              <w:t>34.5</w:t>
            </w:r>
            <w:r>
              <w:rPr>
                <w:rFonts w:cs="Arial"/>
                <w:color w:val="000000" w:themeColor="text1"/>
                <w:sz w:val="22"/>
                <w:szCs w:val="22"/>
              </w:rPr>
              <w:br/>
              <w:t>alínea</w:t>
            </w:r>
            <w:proofErr w:type="gramEnd"/>
            <w:r>
              <w:rPr>
                <w:rFonts w:cs="Arial"/>
                <w:color w:val="000000" w:themeColor="text1"/>
                <w:sz w:val="22"/>
                <w:szCs w:val="22"/>
              </w:rPr>
              <w:t xml:space="preserve"> a</w:t>
            </w:r>
          </w:p>
        </w:tc>
        <w:tc>
          <w:tcPr>
            <w:tcW w:w="1525" w:type="pct"/>
            <w:vAlign w:val="center"/>
          </w:tcPr>
          <w:p w:rsidR="00C8239C" w:rsidRPr="00A024C7" w:rsidRDefault="00C8239C" w:rsidP="00C8239C">
            <w:pPr>
              <w:pStyle w:val="Contrato-Clausula-Nvel3-1dezena"/>
              <w:numPr>
                <w:ilvl w:val="0"/>
                <w:numId w:val="0"/>
              </w:numPr>
              <w:ind w:left="26"/>
              <w:rPr>
                <w:rFonts w:cs="Arial"/>
                <w:szCs w:val="22"/>
              </w:rPr>
            </w:pPr>
          </w:p>
        </w:tc>
        <w:tc>
          <w:tcPr>
            <w:tcW w:w="1945" w:type="pct"/>
            <w:vAlign w:val="center"/>
          </w:tcPr>
          <w:p w:rsidR="00C8239C" w:rsidRPr="00A024C7" w:rsidRDefault="00C8239C" w:rsidP="00C8239C">
            <w:pPr>
              <w:jc w:val="both"/>
              <w:rPr>
                <w:rFonts w:ascii="Arial" w:hAnsi="Arial" w:cs="Arial"/>
                <w:sz w:val="22"/>
                <w:szCs w:val="22"/>
              </w:rPr>
            </w:pPr>
            <w:r>
              <w:rPr>
                <w:rFonts w:ascii="Arial" w:hAnsi="Arial" w:cs="Arial"/>
                <w:sz w:val="22"/>
                <w:szCs w:val="22"/>
              </w:rPr>
              <w:t>A alínea b já contempla o método de seleção dos árbitros.</w:t>
            </w:r>
          </w:p>
        </w:tc>
      </w:tr>
      <w:tr w:rsidR="00C8239C" w:rsidRPr="00697392" w:rsidTr="00C8239C">
        <w:trPr>
          <w:trHeight w:val="2268"/>
        </w:trPr>
        <w:tc>
          <w:tcPr>
            <w:tcW w:w="551" w:type="pct"/>
            <w:vAlign w:val="center"/>
          </w:tcPr>
          <w:p w:rsidR="00C8239C" w:rsidRDefault="00C8239C" w:rsidP="00C8239C">
            <w:pPr>
              <w:pStyle w:val="Legenda"/>
              <w:jc w:val="center"/>
              <w:rPr>
                <w:rFonts w:cs="Arial"/>
                <w:color w:val="000000" w:themeColor="text1"/>
                <w:sz w:val="22"/>
                <w:szCs w:val="22"/>
              </w:rPr>
            </w:pPr>
            <w:r>
              <w:rPr>
                <w:rFonts w:cs="Arial"/>
                <w:color w:val="000000" w:themeColor="text1"/>
                <w:sz w:val="22"/>
                <w:szCs w:val="22"/>
              </w:rPr>
              <w:t>Minuta do Contrato de Concessão</w:t>
            </w:r>
          </w:p>
        </w:tc>
        <w:tc>
          <w:tcPr>
            <w:tcW w:w="616" w:type="pct"/>
            <w:vAlign w:val="center"/>
          </w:tcPr>
          <w:p w:rsidR="00C8239C" w:rsidRPr="00A024C7" w:rsidRDefault="00C8239C" w:rsidP="00C8239C">
            <w:pPr>
              <w:pStyle w:val="Legenda"/>
              <w:jc w:val="center"/>
              <w:rPr>
                <w:rFonts w:cs="Arial"/>
                <w:color w:val="000000" w:themeColor="text1"/>
                <w:sz w:val="22"/>
                <w:szCs w:val="22"/>
              </w:rPr>
            </w:pPr>
            <w:r>
              <w:rPr>
                <w:rFonts w:cs="Arial"/>
                <w:color w:val="000000" w:themeColor="text1"/>
                <w:sz w:val="22"/>
                <w:szCs w:val="22"/>
              </w:rPr>
              <w:t>Exclusão</w:t>
            </w:r>
          </w:p>
        </w:tc>
        <w:tc>
          <w:tcPr>
            <w:tcW w:w="363" w:type="pct"/>
            <w:vAlign w:val="center"/>
          </w:tcPr>
          <w:p w:rsidR="00C8239C" w:rsidRPr="00A024C7" w:rsidRDefault="00C8239C" w:rsidP="00C8239C">
            <w:pPr>
              <w:pStyle w:val="Legenda"/>
              <w:jc w:val="center"/>
              <w:rPr>
                <w:rFonts w:cs="Arial"/>
                <w:color w:val="000000" w:themeColor="text1"/>
                <w:sz w:val="22"/>
                <w:szCs w:val="22"/>
              </w:rPr>
            </w:pPr>
            <w:r>
              <w:rPr>
                <w:rFonts w:cs="Arial"/>
                <w:color w:val="000000" w:themeColor="text1"/>
                <w:sz w:val="22"/>
                <w:szCs w:val="22"/>
              </w:rPr>
              <w:t>34.6</w:t>
            </w:r>
          </w:p>
        </w:tc>
        <w:tc>
          <w:tcPr>
            <w:tcW w:w="1525" w:type="pct"/>
            <w:vAlign w:val="center"/>
          </w:tcPr>
          <w:p w:rsidR="00C8239C" w:rsidRPr="00A024C7" w:rsidRDefault="00C8239C" w:rsidP="00C8239C">
            <w:pPr>
              <w:pStyle w:val="Contrato-Clausula-Nvel3-1dezena"/>
              <w:numPr>
                <w:ilvl w:val="0"/>
                <w:numId w:val="0"/>
              </w:numPr>
              <w:ind w:left="26"/>
              <w:rPr>
                <w:rFonts w:cs="Arial"/>
                <w:szCs w:val="22"/>
              </w:rPr>
            </w:pPr>
          </w:p>
        </w:tc>
        <w:tc>
          <w:tcPr>
            <w:tcW w:w="1945" w:type="pct"/>
            <w:vAlign w:val="center"/>
          </w:tcPr>
          <w:p w:rsidR="00C8239C" w:rsidRPr="00A024C7" w:rsidRDefault="00C8239C" w:rsidP="00C8239C">
            <w:pPr>
              <w:jc w:val="both"/>
              <w:rPr>
                <w:rFonts w:ascii="Arial" w:hAnsi="Arial" w:cs="Arial"/>
                <w:sz w:val="22"/>
                <w:szCs w:val="22"/>
              </w:rPr>
            </w:pPr>
            <w:r>
              <w:rPr>
                <w:rFonts w:ascii="Arial" w:hAnsi="Arial" w:cs="Arial"/>
                <w:sz w:val="22"/>
                <w:szCs w:val="22"/>
              </w:rPr>
              <w:t>O momento da controvérsia não é adequado para se decidir de que forma a mesma será solucionada.</w:t>
            </w:r>
          </w:p>
        </w:tc>
      </w:tr>
    </w:tbl>
    <w:p w:rsidR="00764EB1" w:rsidRPr="00697392" w:rsidRDefault="00764EB1" w:rsidP="004D421E">
      <w:pPr>
        <w:pStyle w:val="Legenda"/>
        <w:spacing w:line="360" w:lineRule="auto"/>
        <w:jc w:val="both"/>
        <w:rPr>
          <w:rFonts w:cs="Arial"/>
          <w:sz w:val="22"/>
          <w:szCs w:val="22"/>
          <w:u w:val="single"/>
        </w:rPr>
      </w:pPr>
    </w:p>
    <w:sectPr w:rsidR="00764EB1" w:rsidRPr="00697392" w:rsidSect="00FB378C">
      <w:headerReference w:type="default" r:id="rId8"/>
      <w:footerReference w:type="default" r:id="rId9"/>
      <w:headerReference w:type="first" r:id="rId10"/>
      <w:footerReference w:type="first" r:id="rId11"/>
      <w:pgSz w:w="16840" w:h="11907" w:orient="landscape" w:code="9"/>
      <w:pgMar w:top="1077" w:right="1440" w:bottom="992" w:left="1440" w:header="51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3923" w:rsidRDefault="00623923" w:rsidP="00842086">
      <w:r>
        <w:separator/>
      </w:r>
    </w:p>
  </w:endnote>
  <w:endnote w:type="continuationSeparator" w:id="0">
    <w:p w:rsidR="00623923" w:rsidRDefault="00623923" w:rsidP="00842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4925" w:rsidRDefault="00883495">
    <w:pPr>
      <w:pStyle w:val="Rodap"/>
      <w:jc w:val="right"/>
    </w:pPr>
    <w:r>
      <w:fldChar w:fldCharType="begin"/>
    </w:r>
    <w:r>
      <w:instrText xml:space="preserve"> PAGE   \* MERGEFORMAT </w:instrText>
    </w:r>
    <w:r>
      <w:fldChar w:fldCharType="separate"/>
    </w:r>
    <w:r w:rsidR="00A42CCE">
      <w:rPr>
        <w:noProof/>
      </w:rPr>
      <w:t>26</w:t>
    </w:r>
    <w:r>
      <w:fldChar w:fldCharType="end"/>
    </w:r>
  </w:p>
  <w:p w:rsidR="005C4925" w:rsidRDefault="005C4925">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4925" w:rsidRDefault="00883495">
    <w:pPr>
      <w:pStyle w:val="Rodap"/>
      <w:jc w:val="right"/>
    </w:pPr>
    <w:r>
      <w:fldChar w:fldCharType="begin"/>
    </w:r>
    <w:r>
      <w:instrText xml:space="preserve"> PAGE   \* MERGEFORMAT </w:instrText>
    </w:r>
    <w:r>
      <w:fldChar w:fldCharType="separate"/>
    </w:r>
    <w:r w:rsidR="00A42CCE">
      <w:rPr>
        <w:noProof/>
      </w:rPr>
      <w:t>1</w:t>
    </w:r>
    <w:r>
      <w:fldChar w:fldCharType="end"/>
    </w:r>
  </w:p>
  <w:p w:rsidR="005C4925" w:rsidRDefault="005C492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3923" w:rsidRDefault="00623923" w:rsidP="00842086">
      <w:r>
        <w:separator/>
      </w:r>
    </w:p>
  </w:footnote>
  <w:footnote w:type="continuationSeparator" w:id="0">
    <w:p w:rsidR="00623923" w:rsidRDefault="00623923" w:rsidP="008420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4925" w:rsidRDefault="005C4925" w:rsidP="00842086">
    <w:pPr>
      <w:pStyle w:val="Cabealho"/>
      <w:tabs>
        <w:tab w:val="clear" w:pos="8504"/>
        <w:tab w:val="right" w:pos="9923"/>
      </w:tabs>
      <w:ind w:left="-142"/>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39" w:type="pct"/>
      <w:tblBorders>
        <w:top w:val="single" w:sz="4" w:space="0" w:color="808080" w:themeColor="background1" w:themeShade="80"/>
        <w:bottom w:val="single" w:sz="4" w:space="0" w:color="808080" w:themeColor="background1" w:themeShade="80"/>
      </w:tblBorders>
      <w:tblLayout w:type="fixed"/>
      <w:tblLook w:val="04A0" w:firstRow="1" w:lastRow="0" w:firstColumn="1" w:lastColumn="0" w:noHBand="0" w:noVBand="1"/>
    </w:tblPr>
    <w:tblGrid>
      <w:gridCol w:w="8064"/>
      <w:gridCol w:w="6005"/>
    </w:tblGrid>
    <w:tr w:rsidR="003967EB" w:rsidRPr="00B27481" w:rsidTr="003967EB">
      <w:tc>
        <w:tcPr>
          <w:tcW w:w="2866" w:type="pct"/>
          <w:tcBorders>
            <w:top w:val="single" w:sz="4" w:space="0" w:color="808080" w:themeColor="background1" w:themeShade="80"/>
            <w:bottom w:val="single" w:sz="4" w:space="0" w:color="808080" w:themeColor="background1" w:themeShade="80"/>
          </w:tcBorders>
          <w:vAlign w:val="center"/>
        </w:tcPr>
        <w:p w:rsidR="003967EB" w:rsidRPr="0036380F" w:rsidRDefault="00A51516" w:rsidP="003967EB">
          <w:pPr>
            <w:pStyle w:val="Cabealho"/>
            <w:spacing w:before="240" w:after="240"/>
            <w:rPr>
              <w:rFonts w:ascii="Arial" w:hAnsi="Arial" w:cs="Arial"/>
              <w:sz w:val="24"/>
              <w:szCs w:val="24"/>
            </w:rPr>
          </w:pPr>
          <w:r w:rsidRPr="00A51516">
            <w:rPr>
              <w:rFonts w:ascii="Arial" w:hAnsi="Arial" w:cs="Arial"/>
              <w:noProof/>
              <w:sz w:val="24"/>
              <w:szCs w:val="24"/>
              <w:lang w:eastAsia="ja-JP"/>
            </w:rPr>
            <w:drawing>
              <wp:inline distT="0" distB="0" distL="0" distR="0">
                <wp:extent cx="2242185" cy="914400"/>
                <wp:effectExtent l="0" t="0" r="0" b="0"/>
                <wp:docPr id="3" name="Imagem 0" descr="testei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testeir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2185" cy="914400"/>
                        </a:xfrm>
                        <a:prstGeom prst="rect">
                          <a:avLst/>
                        </a:prstGeom>
                        <a:noFill/>
                        <a:ln>
                          <a:noFill/>
                        </a:ln>
                      </pic:spPr>
                    </pic:pic>
                  </a:graphicData>
                </a:graphic>
              </wp:inline>
            </w:drawing>
          </w:r>
          <w:r w:rsidR="000C0815" w:rsidRPr="000C0815">
            <w:rPr>
              <w:rFonts w:ascii="Arial" w:hAnsi="Arial" w:cs="Arial"/>
              <w:noProof/>
              <w:sz w:val="24"/>
              <w:szCs w:val="24"/>
              <w:lang w:eastAsia="ja-JP"/>
            </w:rPr>
            <w:drawing>
              <wp:inline distT="0" distB="0" distL="0" distR="0">
                <wp:extent cx="2410460" cy="1401445"/>
                <wp:effectExtent l="0" t="0" r="8890" b="8255"/>
                <wp:docPr id="1" name="Imagem 1" descr="L:\Rodadas de Licitações\Rodada 14\07. Padrão visual\LOGO_14a Rodada vertic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Rodadas de Licitações\Rodada 14\07. Padrão visual\LOGO_14a Rodada vertical.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10460" cy="1401445"/>
                        </a:xfrm>
                        <a:prstGeom prst="rect">
                          <a:avLst/>
                        </a:prstGeom>
                        <a:noFill/>
                        <a:ln>
                          <a:noFill/>
                        </a:ln>
                      </pic:spPr>
                    </pic:pic>
                  </a:graphicData>
                </a:graphic>
              </wp:inline>
            </w:drawing>
          </w:r>
        </w:p>
      </w:tc>
      <w:tc>
        <w:tcPr>
          <w:tcW w:w="2134" w:type="pct"/>
          <w:tcBorders>
            <w:top w:val="single" w:sz="4" w:space="0" w:color="808080" w:themeColor="background1" w:themeShade="80"/>
            <w:bottom w:val="single" w:sz="4" w:space="0" w:color="808080" w:themeColor="background1" w:themeShade="80"/>
          </w:tcBorders>
          <w:vAlign w:val="center"/>
        </w:tcPr>
        <w:p w:rsidR="003967EB" w:rsidRPr="00B27481" w:rsidRDefault="003967EB" w:rsidP="00B27481">
          <w:pPr>
            <w:pStyle w:val="Cabealho"/>
            <w:spacing w:before="240" w:after="240"/>
            <w:jc w:val="right"/>
            <w:rPr>
              <w:rFonts w:ascii="Arial" w:hAnsi="Arial" w:cs="Arial"/>
              <w:b/>
              <w:sz w:val="28"/>
              <w:szCs w:val="28"/>
            </w:rPr>
          </w:pPr>
          <w:r w:rsidRPr="00B27481">
            <w:rPr>
              <w:rFonts w:ascii="Arial" w:hAnsi="Arial" w:cs="Arial"/>
              <w:b/>
              <w:sz w:val="28"/>
              <w:szCs w:val="28"/>
            </w:rPr>
            <w:t xml:space="preserve">CONSULTA PÚBLICA Nº </w:t>
          </w:r>
          <w:r w:rsidR="00F34DFC">
            <w:rPr>
              <w:rFonts w:ascii="Arial" w:hAnsi="Arial" w:cs="Arial"/>
              <w:b/>
              <w:sz w:val="28"/>
              <w:szCs w:val="28"/>
            </w:rPr>
            <w:t>09</w:t>
          </w:r>
          <w:r w:rsidRPr="00B27481">
            <w:rPr>
              <w:rFonts w:ascii="Arial" w:hAnsi="Arial" w:cs="Arial"/>
              <w:b/>
              <w:sz w:val="28"/>
              <w:szCs w:val="28"/>
            </w:rPr>
            <w:t>/201</w:t>
          </w:r>
          <w:r w:rsidR="002A1E27">
            <w:rPr>
              <w:rFonts w:ascii="Arial" w:hAnsi="Arial" w:cs="Arial"/>
              <w:b/>
              <w:sz w:val="28"/>
              <w:szCs w:val="28"/>
            </w:rPr>
            <w:t>7</w:t>
          </w:r>
        </w:p>
        <w:p w:rsidR="003967EB" w:rsidRPr="00B27481" w:rsidRDefault="003967EB" w:rsidP="00B27481">
          <w:pPr>
            <w:pStyle w:val="Cabealho"/>
            <w:spacing w:before="240" w:after="240"/>
            <w:jc w:val="right"/>
            <w:rPr>
              <w:rFonts w:ascii="Arial" w:hAnsi="Arial" w:cs="Arial"/>
              <w:sz w:val="28"/>
              <w:szCs w:val="28"/>
            </w:rPr>
          </w:pPr>
          <w:r w:rsidRPr="00B27481">
            <w:rPr>
              <w:rFonts w:ascii="Arial" w:hAnsi="Arial" w:cs="Arial"/>
              <w:sz w:val="28"/>
              <w:szCs w:val="28"/>
            </w:rPr>
            <w:t>Formulário de comentários e sugestões</w:t>
          </w:r>
        </w:p>
      </w:tc>
    </w:tr>
  </w:tbl>
  <w:p w:rsidR="005C4925" w:rsidRDefault="005C492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26928"/>
    <w:multiLevelType w:val="multilevel"/>
    <w:tmpl w:val="CEDA237E"/>
    <w:lvl w:ilvl="0">
      <w:start w:val="1"/>
      <w:numFmt w:val="decimal"/>
      <w:pStyle w:val="Contrato-Clausula-Nvel1"/>
      <w:lvlText w:val="%1"/>
      <w:lvlJc w:val="left"/>
      <w:pPr>
        <w:ind w:left="360" w:hanging="360"/>
      </w:pPr>
      <w:rPr>
        <w:rFonts w:hint="default"/>
        <w:color w:val="FFFFFF" w:themeColor="background1"/>
      </w:rPr>
    </w:lvl>
    <w:lvl w:ilvl="1">
      <w:start w:val="1"/>
      <w:numFmt w:val="decimal"/>
      <w:pStyle w:val="Contrato-Clausula-Nvel2"/>
      <w:lvlText w:val="%1.%2."/>
      <w:lvlJc w:val="left"/>
      <w:pPr>
        <w:ind w:left="792" w:hanging="432"/>
      </w:pPr>
    </w:lvl>
    <w:lvl w:ilvl="2">
      <w:start w:val="1"/>
      <w:numFmt w:val="decimal"/>
      <w:pStyle w:val="Contrato-Clausula-Nvel3"/>
      <w:lvlText w:val="%1.%2.%3."/>
      <w:lvlJc w:val="left"/>
      <w:pPr>
        <w:ind w:left="1224" w:hanging="504"/>
      </w:pPr>
    </w:lvl>
    <w:lvl w:ilvl="3">
      <w:start w:val="1"/>
      <w:numFmt w:val="decimal"/>
      <w:pStyle w:val="Contrato-Clausula-Nve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0ED3748"/>
    <w:multiLevelType w:val="multilevel"/>
    <w:tmpl w:val="23E22174"/>
    <w:lvl w:ilvl="0">
      <w:start w:val="1"/>
      <w:numFmt w:val="decimal"/>
      <w:lvlText w:val="%1."/>
      <w:lvlJc w:val="left"/>
      <w:pPr>
        <w:tabs>
          <w:tab w:val="num" w:pos="720"/>
        </w:tabs>
        <w:ind w:left="720" w:hanging="720"/>
      </w:pPr>
    </w:lvl>
    <w:lvl w:ilvl="1">
      <w:start w:val="1"/>
      <w:numFmt w:val="decimal"/>
      <w:pStyle w:val="Contrato-Clausula-Nvel2-1dezena"/>
      <w:lvlText w:val="%2."/>
      <w:lvlJc w:val="left"/>
      <w:pPr>
        <w:tabs>
          <w:tab w:val="num" w:pos="1440"/>
        </w:tabs>
        <w:ind w:left="1440" w:hanging="720"/>
      </w:pPr>
    </w:lvl>
    <w:lvl w:ilvl="2">
      <w:start w:val="1"/>
      <w:numFmt w:val="decimal"/>
      <w:pStyle w:val="Contrato-Clausula-Nvel3-1dezena"/>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A44429A"/>
    <w:multiLevelType w:val="hybridMultilevel"/>
    <w:tmpl w:val="867A956A"/>
    <w:lvl w:ilvl="0" w:tplc="0416000F">
      <w:start w:val="1"/>
      <w:numFmt w:val="decimal"/>
      <w:lvlText w:val="%1."/>
      <w:lvlJc w:val="lef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086"/>
    <w:rsid w:val="00006A74"/>
    <w:rsid w:val="0009256E"/>
    <w:rsid w:val="000B7CC5"/>
    <w:rsid w:val="000C0815"/>
    <w:rsid w:val="000C0894"/>
    <w:rsid w:val="000C7F3F"/>
    <w:rsid w:val="000E6393"/>
    <w:rsid w:val="00103946"/>
    <w:rsid w:val="00193747"/>
    <w:rsid w:val="001965B6"/>
    <w:rsid w:val="001A73BC"/>
    <w:rsid w:val="001B0976"/>
    <w:rsid w:val="001B103F"/>
    <w:rsid w:val="001C7265"/>
    <w:rsid w:val="001D0E5D"/>
    <w:rsid w:val="00200E05"/>
    <w:rsid w:val="002153E5"/>
    <w:rsid w:val="002158EA"/>
    <w:rsid w:val="0022423B"/>
    <w:rsid w:val="00256685"/>
    <w:rsid w:val="0026083C"/>
    <w:rsid w:val="00264138"/>
    <w:rsid w:val="00274EA0"/>
    <w:rsid w:val="002A1E27"/>
    <w:rsid w:val="002B38EB"/>
    <w:rsid w:val="002B3923"/>
    <w:rsid w:val="002D0706"/>
    <w:rsid w:val="00300B92"/>
    <w:rsid w:val="00314BDB"/>
    <w:rsid w:val="00327F69"/>
    <w:rsid w:val="00340A67"/>
    <w:rsid w:val="0036380F"/>
    <w:rsid w:val="00365A2A"/>
    <w:rsid w:val="0039350E"/>
    <w:rsid w:val="003967EB"/>
    <w:rsid w:val="003B7B4E"/>
    <w:rsid w:val="003C547C"/>
    <w:rsid w:val="003D5BFF"/>
    <w:rsid w:val="003D6CBE"/>
    <w:rsid w:val="003F02B8"/>
    <w:rsid w:val="0040140A"/>
    <w:rsid w:val="00404818"/>
    <w:rsid w:val="00412AA7"/>
    <w:rsid w:val="00435B7B"/>
    <w:rsid w:val="00461EB3"/>
    <w:rsid w:val="00471ADB"/>
    <w:rsid w:val="004A005A"/>
    <w:rsid w:val="004B7788"/>
    <w:rsid w:val="004C0021"/>
    <w:rsid w:val="004D421E"/>
    <w:rsid w:val="004F050F"/>
    <w:rsid w:val="005600AD"/>
    <w:rsid w:val="0056683F"/>
    <w:rsid w:val="0059797B"/>
    <w:rsid w:val="005B3CEF"/>
    <w:rsid w:val="005B7D75"/>
    <w:rsid w:val="005C4925"/>
    <w:rsid w:val="005C5B4E"/>
    <w:rsid w:val="005D7856"/>
    <w:rsid w:val="005F2D8F"/>
    <w:rsid w:val="00605710"/>
    <w:rsid w:val="00615A71"/>
    <w:rsid w:val="00623923"/>
    <w:rsid w:val="0062557C"/>
    <w:rsid w:val="00675939"/>
    <w:rsid w:val="00683436"/>
    <w:rsid w:val="00697392"/>
    <w:rsid w:val="006D7EF0"/>
    <w:rsid w:val="006E14B4"/>
    <w:rsid w:val="006E3142"/>
    <w:rsid w:val="006E7756"/>
    <w:rsid w:val="006F0687"/>
    <w:rsid w:val="006F3664"/>
    <w:rsid w:val="007178AA"/>
    <w:rsid w:val="0072285E"/>
    <w:rsid w:val="00723EB2"/>
    <w:rsid w:val="007401AD"/>
    <w:rsid w:val="007455B4"/>
    <w:rsid w:val="00764EB1"/>
    <w:rsid w:val="007662D7"/>
    <w:rsid w:val="00792E70"/>
    <w:rsid w:val="007A4220"/>
    <w:rsid w:val="007D7C90"/>
    <w:rsid w:val="007E2560"/>
    <w:rsid w:val="007E6EF9"/>
    <w:rsid w:val="007F1877"/>
    <w:rsid w:val="007F6645"/>
    <w:rsid w:val="007F7936"/>
    <w:rsid w:val="0083277E"/>
    <w:rsid w:val="00842086"/>
    <w:rsid w:val="008500E0"/>
    <w:rsid w:val="00854EE5"/>
    <w:rsid w:val="008675C5"/>
    <w:rsid w:val="008744AC"/>
    <w:rsid w:val="00883495"/>
    <w:rsid w:val="00887FE1"/>
    <w:rsid w:val="00895AED"/>
    <w:rsid w:val="008A590E"/>
    <w:rsid w:val="008B1682"/>
    <w:rsid w:val="008D1D5A"/>
    <w:rsid w:val="008E7D7F"/>
    <w:rsid w:val="008F5E5F"/>
    <w:rsid w:val="00913328"/>
    <w:rsid w:val="0091548E"/>
    <w:rsid w:val="0092578B"/>
    <w:rsid w:val="009271A8"/>
    <w:rsid w:val="00932C2C"/>
    <w:rsid w:val="009403DB"/>
    <w:rsid w:val="0099566E"/>
    <w:rsid w:val="009C4AB4"/>
    <w:rsid w:val="009C70F0"/>
    <w:rsid w:val="00A13F0A"/>
    <w:rsid w:val="00A42CCE"/>
    <w:rsid w:val="00A51516"/>
    <w:rsid w:val="00A621DA"/>
    <w:rsid w:val="00A858A7"/>
    <w:rsid w:val="00A91CC2"/>
    <w:rsid w:val="00AA3122"/>
    <w:rsid w:val="00AC20F9"/>
    <w:rsid w:val="00AC3176"/>
    <w:rsid w:val="00AC75F7"/>
    <w:rsid w:val="00AC7BE3"/>
    <w:rsid w:val="00AE02B1"/>
    <w:rsid w:val="00AF1A97"/>
    <w:rsid w:val="00B13EFD"/>
    <w:rsid w:val="00B25C8F"/>
    <w:rsid w:val="00B27481"/>
    <w:rsid w:val="00B40F4C"/>
    <w:rsid w:val="00B43186"/>
    <w:rsid w:val="00B82FBB"/>
    <w:rsid w:val="00BA3800"/>
    <w:rsid w:val="00BA4C9C"/>
    <w:rsid w:val="00BB0F1C"/>
    <w:rsid w:val="00BC1BBC"/>
    <w:rsid w:val="00BE0221"/>
    <w:rsid w:val="00C102D5"/>
    <w:rsid w:val="00C44A37"/>
    <w:rsid w:val="00C55F31"/>
    <w:rsid w:val="00C57F32"/>
    <w:rsid w:val="00C8239C"/>
    <w:rsid w:val="00C85228"/>
    <w:rsid w:val="00C854C9"/>
    <w:rsid w:val="00C855A3"/>
    <w:rsid w:val="00C93DCB"/>
    <w:rsid w:val="00CA289A"/>
    <w:rsid w:val="00CE255A"/>
    <w:rsid w:val="00CF02E6"/>
    <w:rsid w:val="00CF2944"/>
    <w:rsid w:val="00CF4EC1"/>
    <w:rsid w:val="00D03AF4"/>
    <w:rsid w:val="00D556D2"/>
    <w:rsid w:val="00DC49AF"/>
    <w:rsid w:val="00DC5AB5"/>
    <w:rsid w:val="00DD2272"/>
    <w:rsid w:val="00DD4C0B"/>
    <w:rsid w:val="00E05AB8"/>
    <w:rsid w:val="00E548B4"/>
    <w:rsid w:val="00E62142"/>
    <w:rsid w:val="00E64648"/>
    <w:rsid w:val="00E80A6E"/>
    <w:rsid w:val="00E91A45"/>
    <w:rsid w:val="00EA1DC4"/>
    <w:rsid w:val="00EC26DA"/>
    <w:rsid w:val="00EC4DE3"/>
    <w:rsid w:val="00ED28BC"/>
    <w:rsid w:val="00EF4AFC"/>
    <w:rsid w:val="00EF4EA3"/>
    <w:rsid w:val="00F04568"/>
    <w:rsid w:val="00F34DFC"/>
    <w:rsid w:val="00F378A2"/>
    <w:rsid w:val="00F503A5"/>
    <w:rsid w:val="00F63177"/>
    <w:rsid w:val="00F637D7"/>
    <w:rsid w:val="00FA7129"/>
    <w:rsid w:val="00FA7C17"/>
    <w:rsid w:val="00FB378C"/>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A87D310-A137-4670-8204-3FA64320A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2086"/>
    <w:pPr>
      <w:jc w:val="left"/>
    </w:pPr>
    <w:rPr>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Legenda">
    <w:name w:val="caption"/>
    <w:basedOn w:val="Normal"/>
    <w:next w:val="Normal"/>
    <w:uiPriority w:val="35"/>
    <w:qFormat/>
    <w:rsid w:val="00842086"/>
    <w:rPr>
      <w:rFonts w:ascii="Arial" w:hAnsi="Arial"/>
      <w:sz w:val="24"/>
    </w:rPr>
  </w:style>
  <w:style w:type="table" w:styleId="Tabelacomgrade">
    <w:name w:val="Table Grid"/>
    <w:basedOn w:val="Tabelanormal"/>
    <w:uiPriority w:val="59"/>
    <w:rsid w:val="00842086"/>
    <w:pPr>
      <w:jc w:val="left"/>
    </w:pPr>
    <w:rPr>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iPriority w:val="99"/>
    <w:unhideWhenUsed/>
    <w:rsid w:val="00842086"/>
    <w:pPr>
      <w:tabs>
        <w:tab w:val="center" w:pos="4252"/>
        <w:tab w:val="right" w:pos="8504"/>
      </w:tabs>
    </w:pPr>
  </w:style>
  <w:style w:type="character" w:customStyle="1" w:styleId="CabealhoChar">
    <w:name w:val="Cabeçalho Char"/>
    <w:basedOn w:val="Fontepargpadro"/>
    <w:link w:val="Cabealho"/>
    <w:uiPriority w:val="99"/>
    <w:locked/>
    <w:rsid w:val="00842086"/>
    <w:rPr>
      <w:rFonts w:eastAsia="Times New Roman" w:cs="Times New Roman"/>
      <w:sz w:val="20"/>
      <w:szCs w:val="20"/>
      <w:lang w:val="x-none" w:eastAsia="pt-BR"/>
    </w:rPr>
  </w:style>
  <w:style w:type="paragraph" w:styleId="Rodap">
    <w:name w:val="footer"/>
    <w:basedOn w:val="Normal"/>
    <w:link w:val="RodapChar"/>
    <w:uiPriority w:val="99"/>
    <w:unhideWhenUsed/>
    <w:rsid w:val="00842086"/>
    <w:pPr>
      <w:tabs>
        <w:tab w:val="center" w:pos="4252"/>
        <w:tab w:val="right" w:pos="8504"/>
      </w:tabs>
    </w:pPr>
  </w:style>
  <w:style w:type="character" w:customStyle="1" w:styleId="RodapChar">
    <w:name w:val="Rodapé Char"/>
    <w:basedOn w:val="Fontepargpadro"/>
    <w:link w:val="Rodap"/>
    <w:uiPriority w:val="99"/>
    <w:locked/>
    <w:rsid w:val="00842086"/>
    <w:rPr>
      <w:rFonts w:eastAsia="Times New Roman" w:cs="Times New Roman"/>
      <w:sz w:val="20"/>
      <w:szCs w:val="20"/>
      <w:lang w:val="x-none" w:eastAsia="pt-BR"/>
    </w:rPr>
  </w:style>
  <w:style w:type="paragraph" w:styleId="Textodebalo">
    <w:name w:val="Balloon Text"/>
    <w:basedOn w:val="Normal"/>
    <w:link w:val="TextodebaloChar"/>
    <w:uiPriority w:val="99"/>
    <w:semiHidden/>
    <w:unhideWhenUsed/>
    <w:rsid w:val="00842086"/>
    <w:rPr>
      <w:rFonts w:ascii="Tahoma" w:hAnsi="Tahoma" w:cs="Tahoma"/>
      <w:sz w:val="16"/>
      <w:szCs w:val="16"/>
    </w:rPr>
  </w:style>
  <w:style w:type="character" w:customStyle="1" w:styleId="TextodebaloChar">
    <w:name w:val="Texto de balão Char"/>
    <w:basedOn w:val="Fontepargpadro"/>
    <w:link w:val="Textodebalo"/>
    <w:uiPriority w:val="99"/>
    <w:semiHidden/>
    <w:locked/>
    <w:rsid w:val="00842086"/>
    <w:rPr>
      <w:rFonts w:ascii="Tahoma" w:hAnsi="Tahoma" w:cs="Tahoma"/>
      <w:sz w:val="16"/>
      <w:szCs w:val="16"/>
      <w:lang w:val="x-none" w:eastAsia="pt-BR"/>
    </w:rPr>
  </w:style>
  <w:style w:type="character" w:styleId="TextodoEspaoReservado">
    <w:name w:val="Placeholder Text"/>
    <w:basedOn w:val="Fontepargpadro"/>
    <w:uiPriority w:val="99"/>
    <w:semiHidden/>
    <w:rsid w:val="00A91CC2"/>
    <w:rPr>
      <w:rFonts w:cs="Times New Roman"/>
      <w:color w:val="808080"/>
    </w:rPr>
  </w:style>
  <w:style w:type="paragraph" w:styleId="Textodenotaderodap">
    <w:name w:val="footnote text"/>
    <w:basedOn w:val="Normal"/>
    <w:link w:val="TextodenotaderodapChar"/>
    <w:uiPriority w:val="99"/>
    <w:semiHidden/>
    <w:unhideWhenUsed/>
    <w:rsid w:val="0040140A"/>
  </w:style>
  <w:style w:type="character" w:customStyle="1" w:styleId="TextodenotaderodapChar">
    <w:name w:val="Texto de nota de rodapé Char"/>
    <w:basedOn w:val="Fontepargpadro"/>
    <w:link w:val="Textodenotaderodap"/>
    <w:uiPriority w:val="99"/>
    <w:semiHidden/>
    <w:locked/>
    <w:rsid w:val="0040140A"/>
    <w:rPr>
      <w:rFonts w:eastAsia="Times New Roman" w:cs="Times New Roman"/>
      <w:sz w:val="20"/>
      <w:szCs w:val="20"/>
      <w:lang w:val="x-none" w:eastAsia="pt-BR"/>
    </w:rPr>
  </w:style>
  <w:style w:type="character" w:styleId="Refdenotaderodap">
    <w:name w:val="footnote reference"/>
    <w:basedOn w:val="Fontepargpadro"/>
    <w:uiPriority w:val="99"/>
    <w:semiHidden/>
    <w:unhideWhenUsed/>
    <w:rsid w:val="0040140A"/>
    <w:rPr>
      <w:rFonts w:cs="Times New Roman"/>
      <w:vertAlign w:val="superscript"/>
    </w:rPr>
  </w:style>
  <w:style w:type="paragraph" w:styleId="PargrafodaLista">
    <w:name w:val="List Paragraph"/>
    <w:basedOn w:val="Normal"/>
    <w:uiPriority w:val="34"/>
    <w:qFormat/>
    <w:rsid w:val="0036380F"/>
    <w:pPr>
      <w:ind w:left="720"/>
      <w:contextualSpacing/>
    </w:pPr>
  </w:style>
  <w:style w:type="character" w:styleId="Hyperlink">
    <w:name w:val="Hyperlink"/>
    <w:basedOn w:val="Fontepargpadro"/>
    <w:uiPriority w:val="99"/>
    <w:unhideWhenUsed/>
    <w:rsid w:val="00932C2C"/>
    <w:rPr>
      <w:rFonts w:cs="Times New Roman"/>
      <w:color w:val="0000FF" w:themeColor="hyperlink"/>
      <w:u w:val="single"/>
    </w:rPr>
  </w:style>
  <w:style w:type="paragraph" w:customStyle="1" w:styleId="Edital-TabelaTtulo">
    <w:name w:val="Edital - Tabela (Título)"/>
    <w:basedOn w:val="Normal"/>
    <w:qFormat/>
    <w:rsid w:val="00895AED"/>
    <w:pPr>
      <w:spacing w:line="360" w:lineRule="auto"/>
      <w:jc w:val="center"/>
    </w:pPr>
    <w:rPr>
      <w:rFonts w:ascii="Arial" w:hAnsi="Arial"/>
      <w:b/>
    </w:rPr>
  </w:style>
  <w:style w:type="paragraph" w:customStyle="1" w:styleId="Edital-Corpodetexto">
    <w:name w:val="Edital - Corpo de texto"/>
    <w:basedOn w:val="Normal"/>
    <w:qFormat/>
    <w:rsid w:val="00895AED"/>
    <w:pPr>
      <w:spacing w:line="360" w:lineRule="auto"/>
      <w:ind w:firstLine="709"/>
      <w:jc w:val="both"/>
    </w:pPr>
    <w:rPr>
      <w:rFonts w:ascii="Arial" w:hAnsi="Arial" w:cs="Arial"/>
      <w:sz w:val="22"/>
    </w:rPr>
  </w:style>
  <w:style w:type="paragraph" w:customStyle="1" w:styleId="Contrato-Clausula-Nvel3-1dezena">
    <w:name w:val="Contrato - Clausula - Nível 3 - 1 dezena"/>
    <w:basedOn w:val="Normal"/>
    <w:qFormat/>
    <w:rsid w:val="007A4220"/>
    <w:pPr>
      <w:numPr>
        <w:ilvl w:val="2"/>
        <w:numId w:val="2"/>
      </w:numPr>
      <w:spacing w:before="200" w:after="200"/>
      <w:ind w:left="1304" w:hanging="737"/>
      <w:jc w:val="both"/>
    </w:pPr>
    <w:rPr>
      <w:rFonts w:ascii="Arial" w:hAnsi="Arial"/>
      <w:sz w:val="22"/>
    </w:rPr>
  </w:style>
  <w:style w:type="paragraph" w:customStyle="1" w:styleId="Contrato-Clausula-Nvel2-1dezena">
    <w:name w:val="Contrato - Clausula - Nível 2 - 1 dezena"/>
    <w:basedOn w:val="Normal"/>
    <w:qFormat/>
    <w:rsid w:val="007A4220"/>
    <w:pPr>
      <w:numPr>
        <w:ilvl w:val="1"/>
        <w:numId w:val="2"/>
      </w:numPr>
      <w:spacing w:before="200" w:after="200"/>
      <w:ind w:left="567" w:hanging="567"/>
      <w:jc w:val="both"/>
    </w:pPr>
    <w:rPr>
      <w:rFonts w:ascii="Arial" w:hAnsi="Arial"/>
      <w:sz w:val="22"/>
    </w:rPr>
  </w:style>
  <w:style w:type="paragraph" w:customStyle="1" w:styleId="Contrato-Clausula-Nvel1">
    <w:name w:val="Contrato - Clausula - Nível 1"/>
    <w:basedOn w:val="Contrato-Clausula-Nvel2"/>
    <w:next w:val="Normal"/>
    <w:qFormat/>
    <w:rsid w:val="00200E05"/>
    <w:pPr>
      <w:keepNext/>
      <w:numPr>
        <w:ilvl w:val="0"/>
      </w:numPr>
      <w:ind w:left="142" w:hanging="142"/>
      <w:jc w:val="center"/>
    </w:pPr>
    <w:rPr>
      <w:b/>
      <w:caps/>
    </w:rPr>
  </w:style>
  <w:style w:type="paragraph" w:customStyle="1" w:styleId="Contrato-Clausula-Nvel2">
    <w:name w:val="Contrato - Clausula - Nível 2"/>
    <w:basedOn w:val="Normal"/>
    <w:qFormat/>
    <w:rsid w:val="00200E05"/>
    <w:pPr>
      <w:numPr>
        <w:ilvl w:val="1"/>
        <w:numId w:val="3"/>
      </w:numPr>
      <w:spacing w:before="200" w:after="200"/>
      <w:ind w:left="567" w:hanging="567"/>
      <w:jc w:val="both"/>
    </w:pPr>
    <w:rPr>
      <w:rFonts w:ascii="Arial" w:hAnsi="Arial"/>
      <w:sz w:val="22"/>
    </w:rPr>
  </w:style>
  <w:style w:type="paragraph" w:customStyle="1" w:styleId="Contrato-Clausula-Nvel3">
    <w:name w:val="Contrato - Clausula - Nível 3"/>
    <w:basedOn w:val="Contrato-Clausula-Nvel2"/>
    <w:qFormat/>
    <w:rsid w:val="00200E05"/>
    <w:pPr>
      <w:numPr>
        <w:ilvl w:val="2"/>
      </w:numPr>
      <w:ind w:left="1276" w:hanging="709"/>
    </w:pPr>
  </w:style>
  <w:style w:type="paragraph" w:customStyle="1" w:styleId="Contrato-Clausula-Nvel4">
    <w:name w:val="Contrato - Clausula - Nível 4"/>
    <w:basedOn w:val="Contrato-Clausula-Nvel3"/>
    <w:qFormat/>
    <w:rsid w:val="00200E05"/>
    <w:pPr>
      <w:numPr>
        <w:ilvl w:val="3"/>
      </w:numPr>
      <w:ind w:left="2127" w:hanging="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1B2380-9FFB-42C7-BD41-055EE63DB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28</Pages>
  <Words>5314</Words>
  <Characters>28699</Characters>
  <Application>Microsoft Office Word</Application>
  <DocSecurity>0</DocSecurity>
  <Lines>239</Lines>
  <Paragraphs>67</Paragraphs>
  <ScaleCrop>false</ScaleCrop>
  <HeadingPairs>
    <vt:vector size="2" baseType="variant">
      <vt:variant>
        <vt:lpstr>Título</vt:lpstr>
      </vt:variant>
      <vt:variant>
        <vt:i4>1</vt:i4>
      </vt:variant>
    </vt:vector>
  </HeadingPairs>
  <TitlesOfParts>
    <vt:vector size="1" baseType="lpstr">
      <vt:lpstr/>
    </vt:vector>
  </TitlesOfParts>
  <Company>ANP</Company>
  <LinksUpToDate>false</LinksUpToDate>
  <CharactersWithSpaces>33946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Peçanha</dc:creator>
  <cp:keywords/>
  <dc:description/>
  <cp:lastModifiedBy>Daniel Dellamora Bonolo</cp:lastModifiedBy>
  <cp:revision>71</cp:revision>
  <cp:lastPrinted>2013-01-24T15:49:00Z</cp:lastPrinted>
  <dcterms:created xsi:type="dcterms:W3CDTF">2017-05-17T14:17:00Z</dcterms:created>
  <dcterms:modified xsi:type="dcterms:W3CDTF">2017-06-19T19:50:00Z</dcterms:modified>
</cp:coreProperties>
</file>